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800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本溪市人民政府办公室关于提高城乡居民最低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生活保障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特困人员救助供养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孤儿基本生活养育和60年代精简退职职工生活补助标准的通知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（征求意见稿）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为落实省政府要求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同意，现就提高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城乡居民最低生活保障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特困人员救助供养、孤儿基本生活养育和60年代精简退职职工生活补助标准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有关事宜通知如下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720" w:firstLineChars="225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一、提高标准</w:t>
      </w:r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最低生活保障标准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标准由每人每月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元提高到每人每月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标准由每人每年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6192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516元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每人每年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6636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（每人每月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553元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低保边缘家庭界定标准按照1.5倍低保标准同步调整，其中调整后的城市低保边缘家庭界定标准为每人每月1096.5元，农村低保边缘家庭界定标准为每人每年9954元（每人每月829.5元）。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none" w:color="auto"/>
          <w:lang w:eastAsia="zh-CN"/>
        </w:rPr>
        <w:t>特困人员救助供养标准</w:t>
      </w:r>
    </w:p>
    <w:p>
      <w:pPr>
        <w:numPr>
          <w:ilvl w:val="0"/>
          <w:numId w:val="0"/>
        </w:numPr>
        <w:spacing w:line="560" w:lineRule="exact"/>
        <w:rPr>
          <w:rFonts w:hint="eastAsia" w:ascii="楷体_GB2312" w:hAnsi="楷体_GB2312" w:eastAsia="楷体_GB2312" w:cs="楷体_GB2312"/>
          <w:color w:val="auto"/>
          <w:sz w:val="32"/>
          <w:szCs w:val="32"/>
          <w:u w:val="singl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城市特困人员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救助供养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每人每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1078元提高到1107元，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特困人员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lang w:eastAsia="zh-CN"/>
        </w:rPr>
        <w:t>救助供养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由每人每月904元提高到952元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。</w:t>
      </w:r>
    </w:p>
    <w:p>
      <w:pPr>
        <w:numPr>
          <w:ilvl w:val="0"/>
          <w:numId w:val="0"/>
        </w:numPr>
        <w:tabs>
          <w:tab w:val="left" w:pos="812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 w:color="auto"/>
          <w:lang w:eastAsia="zh-CN"/>
        </w:rPr>
        <w:t>（三）孤儿（含事实无人抚养儿童，下同）基本生活养育标准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 w:color="auto"/>
          <w:lang w:val="en-US" w:eastAsia="zh-CN"/>
        </w:rPr>
        <w:t>集中供养孤儿基本生活养育标准由每人每月2190元提高到2300元，散居孤儿基本生活养育标准由每人每月2059元提高到2162元。就学未就业的成年孤儿，在基本生活养育标准基础上再增加的保障金由每人每月440元提高到460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60年代精简退职职工生活补助标准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lang w:val="en-US" w:eastAsia="zh-CN"/>
        </w:rPr>
        <w:t>1945年9月2日以前参加革命工作且原享受本人标准工资100%生活费、1945年9月3日至1949年9月30日期间参加革命工作且原享受本人工资70%生活费、1949年10月1日至1957年底以前参加革命工作且原享受本人工资40%救济、1949年10月1日至1957年底以前参加革命工作且原享受社会困难补助费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</w:rPr>
        <w:t>60年代精简退职职工生活补助标准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</w:rPr>
        <w:t>分别由每人每月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656元、614元、569元、525元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</w:rPr>
        <w:t>提高到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lang w:val="en-US" w:eastAsia="zh-CN"/>
        </w:rPr>
        <w:t>689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元、645元、598元、552元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720" w:firstLineChars="225"/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执行时间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2023年7月1日起执行。各县（区）要从2023年7月1日起，对新申请最低生活保障、特困人员救助供养、孤儿基本生活养育的对象按照新标准进行审核确认，给予保障、供养；对已经在册的城乡低保、特困人员、孤儿和60年代精简退职职工按照新标准重新核算低保金、供养金或补助金，并按规定发放到位。</w:t>
      </w:r>
    </w:p>
    <w:p>
      <w:pPr>
        <w:spacing w:line="560" w:lineRule="exact"/>
        <w:ind w:firstLine="720" w:firstLineChars="225"/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资金筹集</w:t>
      </w: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与安排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各县（区）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采取调整预算支出结构和增加资金安排等措施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足额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筹集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城乡居民最低生活保障、特困人员救助供养、孤儿基本生活养育和60年代精简退职职工生活补助资金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。市财政根据各县（区）财力、保障任务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资金使用效率、工作绩效等因素，对城乡困难群众救助工作给予资金补助，重点向经济比较贫困、财力比较弱、保障任务比较重、工作管理比较好、资金存在缺口的地区倾斜。</w:t>
      </w:r>
    </w:p>
    <w:p>
      <w:pPr>
        <w:spacing w:line="560" w:lineRule="exact"/>
        <w:ind w:firstLine="720" w:firstLineChars="225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、工作要求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加强组织领导，密切部门协作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提高城乡居民最低生活保障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特困人员救助供养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标准是今年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省政府工作报告和省、市全面振兴新突破三年行动方案中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确定的重点任务。提高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孤儿基本生活养育和60年代精简退职职工生活补助标准是确保特殊群体与全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困难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群体共享改革开放发展成果的重要举措。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县（区）政府要高度重视，加强领导，精心组织，周密部署，全力推动落实。各级民政部门要积极会同财政等部门制定工作方案，合理测算提标的资金需求。各级财政部门要抓紧筹措落实所需资金，确保资金及时足额发放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加强信息核对，实现精准救助。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要进一步加强居民家庭经济状况核对机制建设，完善信息核对平台，健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全跨地区、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跨部门信息比对机制，全面开展社会救助申请家庭收入和财产状况核对，全力提高申请审核确认和动态管理的准确性，确保精准救助。要巩固民生领域脱贫攻坚成果，同乡村振兴有效衔接，扎实做好困难群众兜底保障工作，妥善落实过渡期内各项衔接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加强管理，有序实施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应保尽保的原则，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6月底前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对现有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最低生活保障对象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进行全面调查核实，及时调整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最低生活保障对象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特困人员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及救助金额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重新核定后的低保金额（不含分类施保金额，下同）低于原低保金额的按原低保金额给予保障，高于原低保金额的按新核定的低保金额给予保障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特困人员救助供养对象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审核确认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工作，凡符合条件的均要按照新的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特困人员救助供养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计算保障金，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最低生活保障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特困人员救助供养范围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月底前，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最低生活保障对象、低保边缘家庭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特困人员救助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数据重新统计和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本溪市最低生活保障信息系统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内由各级企业、事业单位负责发放生活补助金的60年代精简退职职工均按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标准执行，中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直驻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单位可参照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各级民政、财政部门要加强对提标工作的督导，建立定期报告和通报制度。各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民政部门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按时间节点要求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报告提标工作进展情况。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将对各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落实提标工作进展情况进行通报，并适时报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本溪市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关于提高城乡居民最低生活保障、特困人员救助供养、孤儿基本生活养育和60年代精简退职职工生活补助标准的通知》（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政办发〔20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同时废止。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footerReference r:id="rId3" w:type="default"/>
      <w:pgMar w:top="2098" w:right="1474" w:bottom="1984" w:left="1587" w:header="720" w:footer="1587" w:gutter="0"/>
      <w:pgNumType w:fmt="numberInDash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EF526"/>
    <w:multiLevelType w:val="singleLevel"/>
    <w:tmpl w:val="DBDEF5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83378A"/>
    <w:multiLevelType w:val="singleLevel"/>
    <w:tmpl w:val="6283378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EFC2"/>
    <w:rsid w:val="1F6758CE"/>
    <w:rsid w:val="4DCC4BC5"/>
    <w:rsid w:val="555F15D3"/>
    <w:rsid w:val="5C477CF5"/>
    <w:rsid w:val="5EFFEA79"/>
    <w:rsid w:val="5FF59D63"/>
    <w:rsid w:val="5FFFBBCA"/>
    <w:rsid w:val="6DDD379F"/>
    <w:rsid w:val="7B2FB65B"/>
    <w:rsid w:val="7D7F0A73"/>
    <w:rsid w:val="7D7FD10A"/>
    <w:rsid w:val="7DC7EFC2"/>
    <w:rsid w:val="7F865DAF"/>
    <w:rsid w:val="7FFFD8C1"/>
    <w:rsid w:val="97F79AB4"/>
    <w:rsid w:val="9FFFBF62"/>
    <w:rsid w:val="A6EF0E5F"/>
    <w:rsid w:val="A77F9F4B"/>
    <w:rsid w:val="DEF1B76F"/>
    <w:rsid w:val="DFEF13B3"/>
    <w:rsid w:val="DFF56DB1"/>
    <w:rsid w:val="E5FFB5FB"/>
    <w:rsid w:val="E73B773D"/>
    <w:rsid w:val="E9A75EEB"/>
    <w:rsid w:val="EF6FF9AC"/>
    <w:rsid w:val="FBF709D4"/>
    <w:rsid w:val="FFE25286"/>
    <w:rsid w:val="FFFB42B1"/>
    <w:rsid w:val="FFFF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2023-04-14T07:40:00Z</dcterms:created>
  <dc:creator>user</dc:creator>
  <cp:lastModifiedBy>y</cp:lastModifiedBy>
  <dcterms:modified xsi:type="dcterms:W3CDTF">2023-05-06T12:26:38Z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0DDC0347D59048E79589C45717255647</vt:lpwstr>
  </property>
</Properties>
</file>