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rPr>
          <w:rFonts w:hint="eastAsia" w:ascii="方正小标宋简体" w:eastAsia="方正小标宋简体" w:cs="方正小标宋简体"/>
          <w:spacing w:val="80"/>
          <w:sz w:val="72"/>
          <w:szCs w:val="72"/>
        </w:rPr>
      </w:pPr>
    </w:p>
    <w:p>
      <w:pPr>
        <w:spacing w:line="800" w:lineRule="exact"/>
        <w:jc w:val="distribute"/>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直接箭头连接符 3" o:spid="_x0000_s1026" type="#_x0000_t32" style="position:absolute;left:0;margin-left:1.5pt;margin-top:7.05pt;height:0.05pt;width:409.5pt;rotation:0f;z-index:251658240;" o:ole="f" fillcolor="#FFFFFF" filled="t" o:preferrelative="t" stroked="t" coordorigin="0,0" coordsize="21600,21600">
            <v:stroke color="#000000" color2="#FFFFFF" opacity="100%" miterlimit="2"/>
            <v:imagedata gain="65536f" blacklevel="0f" gamma="0"/>
            <o:lock v:ext="edit" position="f" selection="f" grouping="f" rotation="f" cropping="f" text="f" aspectratio="f"/>
          </v:shape>
        </w:pict>
      </w:r>
    </w:p>
    <w:p>
      <w:pPr>
        <w:tabs>
          <w:tab w:val="right" w:pos="8306"/>
        </w:tabs>
        <w:jc w:val="center"/>
        <w:rPr>
          <w:rFonts w:ascii="仿宋_GB2312" w:eastAsia="仿宋_GB2312"/>
          <w:sz w:val="32"/>
          <w:szCs w:val="32"/>
        </w:rPr>
      </w:pPr>
      <w:r>
        <w:rPr>
          <w:rFonts w:ascii="Calibri" w:hAnsi="Calibri" w:eastAsia="宋体" w:cs="Times New Roman"/>
          <w:kern w:val="2"/>
          <w:sz w:val="21"/>
          <w:szCs w:val="22"/>
          <w:lang w:val="en-US" w:eastAsia="zh-CN" w:bidi="ar-SA"/>
        </w:rPr>
        <w:pict>
          <v:shape id="直接箭头连接符 7" o:spid="_x0000_s1027" type="#_x0000_t32" style="position:absolute;left:0;margin-left:94.5pt;margin-top:20.85pt;height:0.05pt;width:0.05pt;rotation:0f;z-index:251659264;"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hint="eastAsia" w:ascii="仿宋_GB2312" w:eastAsia="仿宋_GB2312"/>
          <w:sz w:val="32"/>
          <w:szCs w:val="32"/>
        </w:rPr>
        <w:t xml:space="preserve">                                           </w:t>
      </w:r>
    </w:p>
    <w:p>
      <w:pPr>
        <w:tabs>
          <w:tab w:val="right" w:pos="8306"/>
        </w:tabs>
        <w:ind w:firstLine="6720" w:firstLineChars="21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A</w:t>
      </w:r>
      <w:r>
        <w:rPr>
          <w:rFonts w:hint="eastAsia" w:ascii="仿宋_GB2312" w:eastAsia="仿宋_GB2312"/>
          <w:sz w:val="32"/>
          <w:szCs w:val="32"/>
        </w:rPr>
        <w:t>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直接箭头连接符 11" o:spid="_x0000_s1028" type="#_x0000_t32" style="position:absolute;left:0;margin-left:94.5pt;margin-top:20.85pt;height:0.05pt;width:0.05pt;rotation:0f;z-index:251660288;" o:ole="f" fillcolor="#FFFFFF" filled="t" o:preferrelative="t" stroked="t" coordorigin="0,0" coordsize="21600,21600">
            <v:stroke color="#000000" color2="#FFFFFF" opacity="100%"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号</w:t>
      </w:r>
      <w:bookmarkStart w:id="0" w:name="_GoBack"/>
      <w:bookmarkEnd w:id="0"/>
    </w:p>
    <w:p>
      <w:pPr>
        <w:tabs>
          <w:tab w:val="right" w:pos="8306"/>
        </w:tabs>
        <w:rPr>
          <w:rFonts w:ascii="仿宋_GB2312" w:eastAsia="仿宋_GB2312" w:cs="仿宋_GB2312"/>
          <w:sz w:val="32"/>
          <w:szCs w:val="32"/>
        </w:rPr>
      </w:pPr>
    </w:p>
    <w:p>
      <w:pPr>
        <w:tabs>
          <w:tab w:val="right" w:pos="8306"/>
        </w:tabs>
        <w:rPr>
          <w:rFonts w:ascii="仿宋_GB2312" w:eastAsia="仿宋_GB2312" w:cs="仿宋_GB2312"/>
          <w:sz w:val="32"/>
          <w:szCs w:val="32"/>
        </w:rPr>
      </w:pPr>
    </w:p>
    <w:p>
      <w:pPr>
        <w:tabs>
          <w:tab w:val="right" w:pos="8306"/>
        </w:tabs>
        <w:spacing w:line="640" w:lineRule="exact"/>
        <w:jc w:val="center"/>
        <w:rPr>
          <w:rFonts w:hint="eastAsia" w:ascii="宋体" w:hAnsi="宋体" w:cs="宋体"/>
          <w:b/>
          <w:bCs/>
          <w:sz w:val="44"/>
          <w:szCs w:val="44"/>
        </w:rPr>
      </w:pPr>
      <w:r>
        <w:rPr>
          <w:rFonts w:hint="eastAsia" w:ascii="宋体" w:hAnsi="宋体" w:cs="宋体"/>
          <w:b/>
          <w:bCs/>
          <w:sz w:val="44"/>
          <w:szCs w:val="44"/>
        </w:rPr>
        <w:t>关于对</w:t>
      </w:r>
      <w:r>
        <w:rPr>
          <w:rFonts w:hint="eastAsia" w:ascii="宋体" w:hAnsi="宋体" w:cs="宋体"/>
          <w:b/>
          <w:bCs/>
          <w:sz w:val="44"/>
          <w:szCs w:val="44"/>
          <w:lang w:eastAsia="zh-CN"/>
        </w:rPr>
        <w:t>人大</w:t>
      </w:r>
      <w:r>
        <w:rPr>
          <w:rFonts w:hint="eastAsia" w:ascii="宋体" w:hAnsi="宋体" w:cs="宋体"/>
          <w:b/>
          <w:bCs/>
          <w:sz w:val="44"/>
          <w:szCs w:val="44"/>
        </w:rPr>
        <w:t>本溪市第十</w:t>
      </w:r>
      <w:r>
        <w:rPr>
          <w:rFonts w:hint="eastAsia" w:ascii="宋体" w:hAnsi="宋体" w:cs="宋体"/>
          <w:b/>
          <w:bCs/>
          <w:sz w:val="44"/>
          <w:szCs w:val="44"/>
          <w:lang w:eastAsia="zh-CN"/>
        </w:rPr>
        <w:t>六</w:t>
      </w:r>
      <w:r>
        <w:rPr>
          <w:rFonts w:hint="eastAsia" w:ascii="宋体" w:hAnsi="宋体" w:cs="宋体"/>
          <w:b/>
          <w:bCs/>
          <w:sz w:val="44"/>
          <w:szCs w:val="44"/>
        </w:rPr>
        <w:t>届委员会第</w:t>
      </w:r>
      <w:r>
        <w:rPr>
          <w:rFonts w:hint="eastAsia" w:ascii="宋体" w:hAnsi="宋体" w:cs="宋体"/>
          <w:b/>
          <w:bCs/>
          <w:sz w:val="44"/>
          <w:szCs w:val="44"/>
          <w:lang w:val="en-US" w:eastAsia="zh-CN"/>
        </w:rPr>
        <w:t xml:space="preserve"> </w:t>
      </w:r>
      <w:r>
        <w:rPr>
          <w:rFonts w:hint="eastAsia" w:ascii="宋体" w:hAnsi="宋体" w:cs="宋体"/>
          <w:b/>
          <w:bCs/>
          <w:sz w:val="44"/>
          <w:szCs w:val="44"/>
        </w:rPr>
        <w:t>次会议第</w:t>
      </w:r>
      <w:r>
        <w:rPr>
          <w:rFonts w:hint="eastAsia" w:ascii="宋体" w:hAnsi="宋体" w:cs="宋体"/>
          <w:b/>
          <w:bCs/>
          <w:sz w:val="44"/>
          <w:szCs w:val="44"/>
          <w:lang w:val="en-US" w:eastAsia="zh-CN"/>
        </w:rPr>
        <w:t>4229</w:t>
      </w:r>
      <w:r>
        <w:rPr>
          <w:rFonts w:hint="eastAsia" w:ascii="宋体" w:hAnsi="宋体" w:cs="宋体"/>
          <w:b/>
          <w:bCs/>
          <w:sz w:val="44"/>
          <w:szCs w:val="44"/>
        </w:rPr>
        <w:t>号提案办理情况的答复</w:t>
      </w:r>
    </w:p>
    <w:p>
      <w:pPr>
        <w:spacing w:line="240" w:lineRule="auto"/>
        <w:rPr>
          <w:rFonts w:hint="eastAsia" w:ascii="仿宋_GB2312" w:hAnsi="仿宋" w:eastAsia="仿宋_GB2312"/>
          <w:sz w:val="32"/>
          <w:szCs w:val="32"/>
        </w:rPr>
      </w:pPr>
    </w:p>
    <w:p>
      <w:pPr>
        <w:spacing w:line="240" w:lineRule="auto"/>
        <w:rPr>
          <w:rFonts w:ascii="仿宋_GB2312" w:hAnsi="仿宋" w:eastAsia="仿宋_GB2312"/>
          <w:sz w:val="32"/>
          <w:szCs w:val="32"/>
        </w:rPr>
      </w:pPr>
      <w:r>
        <w:rPr>
          <w:rFonts w:hint="eastAsia" w:ascii="仿宋_GB2312" w:hAnsi="仿宋" w:eastAsia="仿宋_GB2312"/>
          <w:sz w:val="32"/>
          <w:szCs w:val="32"/>
          <w:lang w:eastAsia="zh-CN"/>
        </w:rPr>
        <w:t>李涛等七</w:t>
      </w:r>
      <w:r>
        <w:rPr>
          <w:rFonts w:hint="eastAsia" w:ascii="仿宋_GB2312" w:hAnsi="仿宋" w:eastAsia="仿宋_GB2312"/>
          <w:sz w:val="32"/>
          <w:szCs w:val="32"/>
          <w:lang w:val="en-US" w:eastAsia="zh-CN"/>
        </w:rPr>
        <w:t>名</w:t>
      </w:r>
      <w:r>
        <w:rPr>
          <w:rFonts w:hint="eastAsia" w:ascii="仿宋_GB2312" w:hAnsi="仿宋" w:eastAsia="仿宋_GB2312"/>
          <w:sz w:val="32"/>
          <w:szCs w:val="32"/>
        </w:rPr>
        <w:t>代表：</w:t>
      </w:r>
    </w:p>
    <w:p>
      <w:pPr>
        <w:spacing w:line="240" w:lineRule="auto"/>
        <w:ind w:firstLine="720" w:firstLineChars="225"/>
        <w:rPr>
          <w:rFonts w:hint="eastAsia" w:ascii="仿宋" w:hAnsi="仿宋" w:eastAsia="仿宋" w:cs="仿宋"/>
          <w:bCs/>
          <w:sz w:val="32"/>
          <w:szCs w:val="32"/>
        </w:rPr>
      </w:pPr>
      <w:r>
        <w:rPr>
          <w:rFonts w:hint="eastAsia" w:ascii="仿宋" w:hAnsi="仿宋" w:eastAsia="仿宋" w:cs="仿宋"/>
          <w:bCs/>
          <w:sz w:val="32"/>
          <w:szCs w:val="32"/>
        </w:rPr>
        <w:t>您提出“</w:t>
      </w:r>
      <w:r>
        <w:rPr>
          <w:rFonts w:hint="eastAsia" w:ascii="仿宋" w:hAnsi="仿宋" w:eastAsia="仿宋" w:cs="仿宋"/>
          <w:bCs/>
          <w:sz w:val="32"/>
          <w:szCs w:val="32"/>
          <w:lang w:eastAsia="zh-CN"/>
        </w:rPr>
        <w:t>关于积极推进构建我市养老服务体系的建议</w:t>
      </w:r>
      <w:r>
        <w:rPr>
          <w:rFonts w:hint="eastAsia" w:ascii="仿宋" w:hAnsi="仿宋" w:eastAsia="仿宋" w:cs="仿宋"/>
          <w:bCs/>
          <w:sz w:val="32"/>
          <w:szCs w:val="32"/>
        </w:rPr>
        <w:t>”收悉，现就建议中有关民政工作内容答复如下：</w:t>
      </w:r>
    </w:p>
    <w:p>
      <w:pPr>
        <w:spacing w:line="240" w:lineRule="auto"/>
        <w:ind w:firstLine="720" w:firstLineChars="225"/>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一、基本情况</w:t>
      </w:r>
    </w:p>
    <w:p>
      <w:pPr>
        <w:spacing w:line="240" w:lineRule="auto"/>
        <w:ind w:firstLine="720" w:firstLineChars="225"/>
        <w:rPr>
          <w:rFonts w:hint="default" w:ascii="楷体" w:hAnsi="楷体" w:eastAsia="楷体" w:cs="楷体"/>
          <w:bCs/>
          <w:sz w:val="32"/>
          <w:szCs w:val="32"/>
          <w:lang w:val="en-US" w:eastAsia="zh-CN"/>
        </w:rPr>
      </w:pPr>
      <w:r>
        <w:rPr>
          <w:rFonts w:hint="eastAsia" w:ascii="楷体" w:hAnsi="楷体" w:eastAsia="楷体" w:cs="楷体"/>
          <w:bCs/>
          <w:sz w:val="32"/>
          <w:szCs w:val="32"/>
          <w:lang w:val="en-US" w:eastAsia="zh-CN"/>
        </w:rPr>
        <w:t>1.</w:t>
      </w:r>
      <w:r>
        <w:rPr>
          <w:rFonts w:hint="eastAsia" w:ascii="楷体" w:hAnsi="楷体" w:eastAsia="楷体" w:cs="楷体"/>
          <w:bCs/>
          <w:sz w:val="32"/>
          <w:szCs w:val="32"/>
        </w:rPr>
        <w:t>健全工作机制</w:t>
      </w:r>
      <w:r>
        <w:rPr>
          <w:rFonts w:hint="eastAsia" w:ascii="仿宋" w:hAnsi="仿宋" w:eastAsia="仿宋" w:cs="仿宋"/>
          <w:bCs/>
          <w:sz w:val="32"/>
          <w:szCs w:val="32"/>
        </w:rPr>
        <w:t>。近年来，为全面推进我市养老服务的发展，我市建立了由党、政、群、企等40个部门组成的本溪市发展养老服务业工作领导小组，领导小组负责全面推进，同时先后印发了《本溪市人民政府关于印发本溪市加快发展养老服务业实施方案的通知》、《本溪市政府医养结合实施方案》、《关于本溪市全面放开养老服务市场提升养老服务质量的实施意见》等文件构建起了比较完善的政策支持体系。</w:t>
      </w:r>
    </w:p>
    <w:p>
      <w:pPr>
        <w:spacing w:line="240" w:lineRule="auto"/>
        <w:ind w:firstLine="720" w:firstLineChars="225"/>
        <w:rPr>
          <w:rFonts w:ascii="仿宋" w:hAnsi="仿宋" w:eastAsia="仿宋" w:cs="仿宋"/>
          <w:sz w:val="32"/>
          <w:szCs w:val="32"/>
        </w:rPr>
      </w:pPr>
      <w:r>
        <w:rPr>
          <w:rFonts w:hint="eastAsia" w:ascii="楷体" w:hAnsi="楷体" w:eastAsia="楷体" w:cs="楷体"/>
          <w:bCs/>
          <w:sz w:val="32"/>
          <w:szCs w:val="32"/>
          <w:lang w:val="en-US" w:eastAsia="zh-CN"/>
        </w:rPr>
        <w:t>2.</w:t>
      </w:r>
      <w:r>
        <w:rPr>
          <w:rFonts w:hint="eastAsia" w:ascii="楷体" w:hAnsi="楷体" w:eastAsia="楷体" w:cs="楷体"/>
          <w:bCs/>
          <w:sz w:val="32"/>
          <w:szCs w:val="32"/>
        </w:rPr>
        <w:t>发展社区居家养老。</w:t>
      </w:r>
      <w:r>
        <w:rPr>
          <w:rFonts w:hint="eastAsia" w:ascii="仿宋" w:hAnsi="仿宋" w:eastAsia="仿宋" w:cs="仿宋"/>
          <w:sz w:val="32"/>
          <w:szCs w:val="32"/>
        </w:rPr>
        <w:t>2020年本溪市明山区被省民政厅、省财政厅批准为我省首批“居家和社区养老服务改革试点”地区。投资580万元设立居家和社区养老服务中心8个，其中设立街道级养老服务中心1个，社区级养老服务中心7个。依托服务点位面向周边居民逐步开展助浴、助行、日间照料、康复护理等服务项目。</w:t>
      </w:r>
    </w:p>
    <w:p>
      <w:pPr>
        <w:widowControl w:val="0"/>
        <w:wordWrap/>
        <w:adjustRightInd/>
        <w:snapToGrid/>
        <w:spacing w:line="240" w:lineRule="auto"/>
        <w:ind w:firstLine="640" w:firstLineChars="200"/>
        <w:textAlignment w:val="auto"/>
        <w:rPr>
          <w:rFonts w:hint="eastAsia" w:ascii="仿宋" w:hAnsi="仿宋" w:eastAsia="仿宋" w:cs="仿宋"/>
          <w:bCs/>
          <w:sz w:val="32"/>
          <w:szCs w:val="32"/>
          <w:lang w:eastAsia="zh-CN"/>
        </w:rPr>
      </w:pPr>
      <w:r>
        <w:rPr>
          <w:rFonts w:hint="eastAsia" w:ascii="楷体" w:hAnsi="楷体" w:eastAsia="楷体" w:cs="楷体"/>
          <w:bCs/>
          <w:sz w:val="32"/>
          <w:szCs w:val="32"/>
          <w:lang w:val="en-US" w:eastAsia="zh-CN"/>
        </w:rPr>
        <w:t>3.</w:t>
      </w:r>
      <w:r>
        <w:rPr>
          <w:rFonts w:hint="eastAsia" w:ascii="楷体" w:hAnsi="楷体" w:eastAsia="楷体" w:cs="楷体"/>
          <w:bCs/>
          <w:sz w:val="32"/>
          <w:szCs w:val="32"/>
        </w:rPr>
        <w:t>加强养老服务人才队伍建设。</w:t>
      </w:r>
      <w:r>
        <w:rPr>
          <w:rFonts w:hint="eastAsia" w:ascii="仿宋" w:hAnsi="仿宋" w:eastAsia="仿宋" w:cs="仿宋"/>
          <w:sz w:val="32"/>
          <w:szCs w:val="32"/>
        </w:rPr>
        <w:t>我市依托人社部门、市福利协会对全市持续开展培训，4年来累计培训护理员3000余人次，目</w:t>
      </w:r>
      <w:r>
        <w:rPr>
          <w:rFonts w:hint="eastAsia" w:ascii="仿宋" w:hAnsi="仿宋" w:eastAsia="仿宋" w:cs="仿宋"/>
          <w:sz w:val="32"/>
          <w:szCs w:val="32"/>
          <w:lang w:eastAsia="zh-CN"/>
        </w:rPr>
        <w:t>前</w:t>
      </w:r>
      <w:r>
        <w:rPr>
          <w:rFonts w:hint="eastAsia" w:ascii="仿宋" w:hAnsi="仿宋" w:eastAsia="仿宋" w:cs="仿宋"/>
          <w:sz w:val="32"/>
          <w:szCs w:val="32"/>
        </w:rPr>
        <w:t>全市养老护理员达到1476名，专业技能培训率达到60%，持证上岗率达到45%，养老服务人才队伍有所发展。</w:t>
      </w:r>
    </w:p>
    <w:p>
      <w:pPr>
        <w:widowControl/>
        <w:wordWrap/>
        <w:adjustRightInd w:val="0"/>
        <w:snapToGrid/>
        <w:spacing w:line="240" w:lineRule="auto"/>
        <w:ind w:firstLine="720" w:firstLineChars="225"/>
        <w:textAlignment w:val="auto"/>
        <w:rPr>
          <w:rFonts w:ascii="仿宋" w:hAnsi="仿宋" w:eastAsia="仿宋" w:cs="仿宋"/>
          <w:sz w:val="32"/>
          <w:szCs w:val="32"/>
        </w:rPr>
      </w:pP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lang w:eastAsia="zh-CN"/>
        </w:rPr>
        <w:t>落实优惠政策，助推民办养老机构发展。</w:t>
      </w:r>
      <w:r>
        <w:rPr>
          <w:rFonts w:hint="eastAsia" w:ascii="仿宋" w:hAnsi="仿宋" w:eastAsia="仿宋" w:cs="仿宋"/>
          <w:kern w:val="0"/>
          <w:sz w:val="32"/>
          <w:szCs w:val="32"/>
        </w:rPr>
        <w:t>近年来，为扶持民办养老机构，我市按实际入住人数，对民办养老机构给予每人每月补贴140元的运营补贴；对养老机构责任保险费给予每张床位每年80元的财政补贴；另外，养老机构用水用电用气享受按居民缴费标准执行的政策。上述政策，有效促进了民办养老机构的较快发展。</w:t>
      </w:r>
    </w:p>
    <w:p>
      <w:pPr>
        <w:widowControl w:val="0"/>
        <w:wordWrap/>
        <w:adjustRightInd/>
        <w:snapToGrid/>
        <w:spacing w:before="0" w:after="0" w:line="360" w:lineRule="auto"/>
        <w:ind w:left="0" w:leftChars="0" w:right="0" w:firstLine="640" w:firstLineChars="200"/>
        <w:jc w:val="both"/>
        <w:textAlignment w:val="auto"/>
        <w:outlineLvl w:val="9"/>
        <w:rPr>
          <w:rFonts w:hint="eastAsia" w:ascii="仿宋" w:hAnsi="仿宋" w:eastAsia="仿宋" w:cs="仿宋"/>
          <w:bCs/>
          <w:sz w:val="32"/>
          <w:szCs w:val="32"/>
        </w:rPr>
      </w:pPr>
      <w:r>
        <w:rPr>
          <w:rFonts w:hint="eastAsia" w:ascii="楷体" w:hAnsi="楷体" w:eastAsia="楷体" w:cs="楷体"/>
          <w:bCs/>
          <w:sz w:val="32"/>
          <w:szCs w:val="32"/>
          <w:lang w:val="en-US" w:eastAsia="zh-CN"/>
        </w:rPr>
        <w:t>5.</w:t>
      </w:r>
      <w:r>
        <w:rPr>
          <w:rFonts w:hint="eastAsia" w:ascii="楷体" w:hAnsi="楷体" w:eastAsia="楷体" w:cs="楷体"/>
          <w:bCs/>
          <w:sz w:val="32"/>
          <w:szCs w:val="32"/>
        </w:rPr>
        <w:t>开展养老机构与就近医疗机构签订合作协议。</w:t>
      </w:r>
      <w:r>
        <w:rPr>
          <w:rFonts w:hint="eastAsia" w:ascii="仿宋" w:hAnsi="仿宋" w:eastAsia="仿宋" w:cs="仿宋"/>
          <w:bCs/>
          <w:sz w:val="32"/>
          <w:szCs w:val="32"/>
        </w:rPr>
        <w:t>2020年，市民政局</w:t>
      </w:r>
      <w:r>
        <w:rPr>
          <w:rFonts w:hint="eastAsia" w:ascii="仿宋" w:hAnsi="仿宋" w:eastAsia="仿宋" w:cs="仿宋"/>
          <w:bCs/>
          <w:sz w:val="32"/>
          <w:szCs w:val="32"/>
          <w:lang w:eastAsia="zh-CN"/>
        </w:rPr>
        <w:t>、</w:t>
      </w:r>
      <w:r>
        <w:rPr>
          <w:rFonts w:hint="eastAsia" w:ascii="仿宋" w:hAnsi="仿宋" w:eastAsia="仿宋" w:cs="仿宋"/>
          <w:bCs/>
          <w:sz w:val="32"/>
          <w:szCs w:val="32"/>
        </w:rPr>
        <w:t>市卫生计委开展养老机构与医疗机构医养结合签约合作的要求，将目前正在运营的</w:t>
      </w:r>
      <w:r>
        <w:rPr>
          <w:rFonts w:hint="eastAsia" w:ascii="仿宋" w:hAnsi="仿宋" w:eastAsia="仿宋" w:cs="仿宋"/>
          <w:bCs/>
          <w:sz w:val="32"/>
          <w:szCs w:val="32"/>
          <w:lang w:val="en-US" w:eastAsia="zh-CN"/>
        </w:rPr>
        <w:t>135</w:t>
      </w:r>
      <w:r>
        <w:rPr>
          <w:rFonts w:hint="eastAsia" w:ascii="仿宋" w:hAnsi="仿宋" w:eastAsia="仿宋" w:cs="仿宋"/>
          <w:bCs/>
          <w:sz w:val="32"/>
          <w:szCs w:val="32"/>
        </w:rPr>
        <w:t>家各类养老机构与就近医院匹配结对。</w:t>
      </w:r>
    </w:p>
    <w:p>
      <w:pPr>
        <w:spacing w:line="240" w:lineRule="auto"/>
        <w:ind w:firstLine="720" w:firstLineChars="22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pPr>
        <w:spacing w:line="240" w:lineRule="auto"/>
        <w:ind w:firstLine="720" w:firstLineChars="225"/>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居家养老服务供给能力不足，市场发育不充分。同时老年人消费支付能力较差、养老服务支付意愿不强，导致居家和社区养老服务为主的格局还未完全形成。</w:t>
      </w:r>
    </w:p>
    <w:p>
      <w:pPr>
        <w:widowControl w:val="0"/>
        <w:wordWrap/>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由于</w:t>
      </w:r>
      <w:r>
        <w:rPr>
          <w:rFonts w:hint="eastAsia" w:ascii="仿宋" w:hAnsi="仿宋" w:eastAsia="仿宋" w:cs="仿宋"/>
          <w:bCs/>
          <w:sz w:val="32"/>
          <w:szCs w:val="32"/>
        </w:rPr>
        <w:t>养老服务岗位辛苦，待遇低，加之由于养老人才培训体系缺失导致我市养老服务专业人员仍然匮乏。</w:t>
      </w:r>
    </w:p>
    <w:p>
      <w:pPr>
        <w:widowControl/>
        <w:wordWrap/>
        <w:adjustRightInd w:val="0"/>
        <w:snapToGrid/>
        <w:spacing w:line="240" w:lineRule="auto"/>
        <w:ind w:firstLine="720" w:firstLineChars="225"/>
        <w:textAlignment w:val="auto"/>
        <w:rPr>
          <w:rFonts w:ascii="仿宋" w:hAnsi="仿宋" w:eastAsia="仿宋" w:cs="仿宋"/>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供热及天然气使用价格优惠政策还未全面落实，土地使用、投融资政策等方面还是空白。同时，受地方财力不足影响，政府投入养老事业的引导性资金不足。</w:t>
      </w:r>
    </w:p>
    <w:p>
      <w:pPr>
        <w:widowControl w:val="0"/>
        <w:wordWrap/>
        <w:adjustRightInd/>
        <w:snapToGrid/>
        <w:spacing w:line="240" w:lineRule="auto"/>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三、下步工作打算</w:t>
      </w:r>
    </w:p>
    <w:p>
      <w:pPr>
        <w:spacing w:line="240" w:lineRule="auto"/>
        <w:ind w:firstLine="720" w:firstLineChars="225"/>
        <w:rPr>
          <w:rFonts w:hint="eastAsia" w:ascii="仿宋" w:hAnsi="仿宋" w:eastAsia="仿宋" w:cs="仿宋"/>
          <w:kern w:val="0"/>
          <w:sz w:val="32"/>
          <w:szCs w:val="32"/>
        </w:rPr>
      </w:pPr>
      <w:r>
        <w:rPr>
          <w:rFonts w:hint="eastAsia" w:ascii="仿宋" w:hAnsi="仿宋" w:eastAsia="仿宋" w:cs="仿宋"/>
          <w:sz w:val="32"/>
          <w:szCs w:val="32"/>
          <w:lang w:eastAsia="zh-CN"/>
        </w:rPr>
        <w:t>一是进一步落实</w:t>
      </w:r>
      <w:r>
        <w:rPr>
          <w:rFonts w:hint="eastAsia" w:ascii="仿宋" w:hAnsi="仿宋" w:eastAsia="仿宋" w:cs="仿宋"/>
          <w:bCs/>
          <w:sz w:val="32"/>
          <w:szCs w:val="32"/>
        </w:rPr>
        <w:t>《本溪市人民政府关于印发本溪市加快发展养老服务业实施方案的通知》</w:t>
      </w:r>
      <w:r>
        <w:rPr>
          <w:rFonts w:hint="eastAsia" w:ascii="仿宋" w:hAnsi="仿宋" w:eastAsia="仿宋" w:cs="仿宋"/>
          <w:bCs/>
          <w:sz w:val="32"/>
          <w:szCs w:val="32"/>
          <w:lang w:eastAsia="zh-CN"/>
        </w:rPr>
        <w:t>的要求</w:t>
      </w:r>
      <w:r>
        <w:rPr>
          <w:rFonts w:hint="eastAsia" w:ascii="仿宋" w:hAnsi="仿宋" w:eastAsia="仿宋" w:cs="仿宋"/>
          <w:bCs/>
          <w:sz w:val="32"/>
          <w:szCs w:val="32"/>
        </w:rPr>
        <w:t>进一步完善养老服务业的组织领导机制，使其切实发挥作用。</w:t>
      </w:r>
      <w:r>
        <w:rPr>
          <w:rFonts w:hint="eastAsia" w:ascii="仿宋" w:hAnsi="仿宋" w:eastAsia="仿宋" w:cs="仿宋"/>
          <w:bCs/>
          <w:sz w:val="32"/>
          <w:szCs w:val="32"/>
          <w:lang w:eastAsia="zh-CN"/>
        </w:rPr>
        <w:t>二是</w:t>
      </w:r>
      <w:r>
        <w:rPr>
          <w:rFonts w:hint="eastAsia" w:ascii="仿宋" w:hAnsi="仿宋" w:eastAsia="仿宋" w:cs="仿宋"/>
          <w:sz w:val="32"/>
          <w:szCs w:val="32"/>
          <w:lang w:val="en-US" w:eastAsia="zh-CN"/>
        </w:rPr>
        <w:t>巩固明山区级居家和社区养老服务改革试点成果。继续推进8个服务中心的社会化运营程度，并以之为依托使相关服务辐射更广大地区；三是</w:t>
      </w:r>
      <w:r>
        <w:rPr>
          <w:rFonts w:hint="eastAsia" w:ascii="仿宋" w:hAnsi="仿宋" w:eastAsia="仿宋" w:cs="仿宋"/>
          <w:sz w:val="32"/>
          <w:szCs w:val="32"/>
        </w:rPr>
        <w:t>加强养老服务专业人才队伍建设，实施养老护理员职业技能提升行动，就培训经费、培训机构、资格鉴定等作出政策安排</w:t>
      </w:r>
      <w:r>
        <w:rPr>
          <w:rFonts w:hint="eastAsia" w:ascii="仿宋" w:hAnsi="仿宋" w:eastAsia="仿宋" w:cs="仿宋"/>
          <w:sz w:val="32"/>
          <w:szCs w:val="32"/>
          <w:lang w:eastAsia="zh-CN"/>
        </w:rPr>
        <w:t>；四是着</w:t>
      </w:r>
      <w:r>
        <w:rPr>
          <w:rFonts w:hint="eastAsia" w:ascii="仿宋" w:hAnsi="仿宋" w:eastAsia="仿宋" w:cs="仿宋"/>
          <w:bCs/>
          <w:sz w:val="32"/>
          <w:szCs w:val="32"/>
        </w:rPr>
        <w:t>眼于协调相关部门落实养老服务机构安装电话、有线（数字）电视、宽带互联网享受居民缴费的政策</w:t>
      </w:r>
      <w:r>
        <w:rPr>
          <w:rFonts w:hint="eastAsia" w:ascii="仿宋" w:hAnsi="仿宋" w:eastAsia="仿宋" w:cs="仿宋"/>
          <w:bCs/>
          <w:sz w:val="32"/>
          <w:szCs w:val="32"/>
          <w:lang w:eastAsia="zh-CN"/>
        </w:rPr>
        <w:t>；五是配合</w:t>
      </w:r>
      <w:r>
        <w:rPr>
          <w:rFonts w:hint="eastAsia" w:ascii="仿宋" w:hAnsi="仿宋" w:eastAsia="仿宋" w:cs="仿宋"/>
          <w:kern w:val="0"/>
          <w:sz w:val="32"/>
          <w:szCs w:val="32"/>
          <w:lang w:eastAsia="zh-CN"/>
        </w:rPr>
        <w:t>相关部门</w:t>
      </w:r>
      <w:r>
        <w:rPr>
          <w:rFonts w:hint="eastAsia" w:ascii="仿宋" w:hAnsi="仿宋" w:eastAsia="仿宋" w:cs="仿宋"/>
          <w:kern w:val="0"/>
          <w:sz w:val="32"/>
          <w:szCs w:val="32"/>
        </w:rPr>
        <w:t>按照</w:t>
      </w:r>
      <w:r>
        <w:rPr>
          <w:rFonts w:hint="eastAsia" w:ascii="仿宋" w:hAnsi="仿宋" w:eastAsia="仿宋" w:cs="仿宋"/>
          <w:kern w:val="0"/>
          <w:sz w:val="32"/>
          <w:szCs w:val="32"/>
          <w:lang w:eastAsia="zh-CN"/>
        </w:rPr>
        <w:t>《关于推进养老服务发展的意见》（国办发〔2019〕5号）</w:t>
      </w:r>
      <w:r>
        <w:rPr>
          <w:rFonts w:hint="eastAsia" w:ascii="仿宋" w:hAnsi="仿宋" w:eastAsia="仿宋" w:cs="仿宋"/>
          <w:kern w:val="0"/>
          <w:sz w:val="32"/>
          <w:szCs w:val="32"/>
        </w:rPr>
        <w:t>相关规定，盘活医疗资源，推动我市相关的医疗机构开展养老服务，进入养老服务市场，从而改变我市养老服务业的基本格局。</w:t>
      </w:r>
    </w:p>
    <w:p>
      <w:pPr>
        <w:widowControl w:val="0"/>
        <w:wordWrap/>
        <w:adjustRightInd/>
        <w:snapToGrid/>
        <w:spacing w:before="0" w:after="0" w:line="360" w:lineRule="auto"/>
        <w:ind w:left="0" w:leftChars="0" w:right="0" w:firstLine="640" w:firstLineChars="200"/>
        <w:jc w:val="both"/>
        <w:textAlignment w:val="auto"/>
        <w:outlineLvl w:val="9"/>
        <w:rPr>
          <w:rFonts w:hint="eastAsia" w:ascii="仿宋" w:hAnsi="仿宋" w:eastAsia="仿宋" w:cs="仿宋"/>
          <w:bCs/>
          <w:sz w:val="32"/>
          <w:szCs w:val="32"/>
        </w:rPr>
      </w:pPr>
    </w:p>
    <w:p>
      <w:pPr>
        <w:spacing w:line="240" w:lineRule="auto"/>
        <w:ind w:firstLine="640" w:firstLineChars="200"/>
        <w:jc w:val="right"/>
        <w:rPr>
          <w:rFonts w:hint="eastAsia" w:ascii="仿宋_GB2312" w:hAnsi="仿宋" w:eastAsia="仿宋_GB2312"/>
          <w:sz w:val="32"/>
          <w:szCs w:val="32"/>
        </w:rPr>
      </w:pPr>
    </w:p>
    <w:p>
      <w:pPr>
        <w:spacing w:line="240" w:lineRule="auto"/>
        <w:ind w:firstLine="6080" w:firstLineChars="1900"/>
        <w:jc w:val="both"/>
        <w:rPr>
          <w:rFonts w:ascii="仿宋_GB2312" w:hAnsi="仿宋" w:eastAsia="仿宋_GB2312"/>
          <w:sz w:val="32"/>
          <w:szCs w:val="32"/>
        </w:rPr>
      </w:pPr>
      <w:r>
        <w:rPr>
          <w:rFonts w:hint="eastAsia" w:ascii="仿宋_GB2312" w:hAnsi="仿宋" w:eastAsia="仿宋_GB2312"/>
          <w:sz w:val="32"/>
          <w:szCs w:val="32"/>
        </w:rPr>
        <w:t>本溪市民政局</w:t>
      </w:r>
    </w:p>
    <w:p>
      <w:pPr>
        <w:spacing w:line="240" w:lineRule="auto"/>
        <w:ind w:firstLine="640" w:firstLineChars="200"/>
        <w:jc w:val="right"/>
      </w:pPr>
      <w:r>
        <w:rPr>
          <w:rFonts w:hint="eastAsia" w:ascii="仿宋_GB2312" w:hAnsi="仿宋" w:eastAsia="仿宋_GB2312"/>
          <w:sz w:val="32"/>
          <w:szCs w:val="32"/>
        </w:rPr>
        <w:t xml:space="preserve">                                 2021年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2</w:t>
      </w:r>
      <w:r>
        <w:rPr>
          <w:rFonts w:hint="eastAsia" w:ascii="仿宋_GB2312" w:hAnsi="仿宋" w:eastAsia="仿宋_GB2312"/>
          <w:sz w:val="32"/>
          <w:szCs w:val="32"/>
        </w:rPr>
        <w:t>日</w:t>
      </w:r>
    </w:p>
    <w:p>
      <w:pPr>
        <w:spacing w:line="240" w:lineRule="auto"/>
        <w:jc w:val="right"/>
      </w:pP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240" w:lineRule="auto"/>
        <w:jc w:val="left"/>
        <w:rPr>
          <w:rFonts w:hint="eastAsia" w:ascii="仿宋_GB2312" w:eastAsia="仿宋_GB2312" w:cs="仿宋_GB2312"/>
          <w:sz w:val="28"/>
          <w:szCs w:val="28"/>
        </w:rPr>
      </w:pPr>
      <w:r>
        <w:rPr>
          <w:rFonts w:hint="eastAsia" w:ascii="仿宋_GB2312" w:eastAsia="仿宋_GB2312" w:cs="仿宋_GB2312"/>
          <w:sz w:val="28"/>
          <w:szCs w:val="28"/>
        </w:rPr>
        <w:t>联系人及电话：段新宇，43841728</w:t>
      </w:r>
    </w:p>
    <w:p>
      <w:pPr>
        <w:tabs>
          <w:tab w:val="right" w:pos="8306"/>
        </w:tabs>
        <w:spacing w:line="240" w:lineRule="auto"/>
        <w:jc w:val="left"/>
        <w:rPr>
          <w:rFonts w:hint="eastAsia" w:ascii="仿宋_GB2312" w:eastAsia="仿宋_GB2312"/>
          <w:sz w:val="28"/>
          <w:szCs w:val="28"/>
          <w:lang w:eastAsia="zh-CN"/>
        </w:rPr>
      </w:pPr>
      <w:r>
        <w:rPr>
          <w:rFonts w:hint="eastAsia" w:ascii="仿宋_GB2312" w:eastAsia="仿宋_GB2312"/>
          <w:sz w:val="28"/>
          <w:szCs w:val="28"/>
        </w:rPr>
        <w:t>抄送：市人大人选委，市政府办公室</w:t>
      </w:r>
    </w:p>
    <w:p>
      <w:pPr>
        <w:numPr>
          <w:numId w:val="0"/>
        </w:numPr>
        <w:spacing w:line="240" w:lineRule="auto"/>
        <w:rPr>
          <w:rFonts w:hint="default" w:ascii="仿宋_GB2312" w:eastAsia="仿宋_GB2312"/>
          <w:sz w:val="28"/>
          <w:szCs w:val="28"/>
          <w:lang w:val="en-US" w:eastAsia="zh-CN"/>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paragraph" w:styleId="2">
    <w:name w:val="footer"/>
    <w:basedOn w:val="1"/>
    <w:qFormat/>
    <w:uiPriority w:val="99"/>
    <w:pPr>
      <w:tabs>
        <w:tab w:val="center" w:pos="4153"/>
        <w:tab w:val="right" w:pos="8306"/>
      </w:tabs>
      <w:snapToGrid w:val="0"/>
      <w:spacing w:line="240" w:lineRule="atLeast"/>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2021-05-20T02:07:00Z</dcterms:created>
  <dc:creator>Administrator</dc:creator>
  <cp:lastModifiedBy>Administrator</cp:lastModifiedBy>
  <cp:lastPrinted>2021-06-02T07:16:00Z</cp:lastPrinted>
  <dcterms:modified xsi:type="dcterms:W3CDTF">2021-06-07T01:29:16Z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B0818FC2088F4C358EE90E8336CC04D1</vt:lpwstr>
  </property>
</Properties>
</file>