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D31" w:rsidRDefault="009F0D31">
      <w:pPr>
        <w:jc w:val="center"/>
        <w:rPr>
          <w:rFonts w:ascii="方正小标宋简体" w:eastAsia="方正小标宋简体" w:cs="方正小标宋简体"/>
          <w:spacing w:val="80"/>
          <w:sz w:val="72"/>
          <w:szCs w:val="72"/>
        </w:rPr>
      </w:pPr>
    </w:p>
    <w:p w:rsidR="009F0D31" w:rsidRDefault="0058078A">
      <w:pPr>
        <w:jc w:val="center"/>
        <w:rPr>
          <w:b/>
          <w:bCs/>
          <w:sz w:val="72"/>
          <w:szCs w:val="72"/>
        </w:rPr>
      </w:pPr>
      <w:r>
        <w:rPr>
          <w:rFonts w:ascii="方正小标宋简体" w:eastAsia="方正小标宋简体" w:cs="方正小标宋简体" w:hint="eastAsia"/>
          <w:spacing w:val="80"/>
          <w:sz w:val="72"/>
          <w:szCs w:val="72"/>
        </w:rPr>
        <w:t>本溪市民政局</w:t>
      </w:r>
    </w:p>
    <w:p w:rsidR="009F0D31" w:rsidRDefault="00087A32">
      <w:pPr>
        <w:tabs>
          <w:tab w:val="right" w:pos="8306"/>
        </w:tabs>
      </w:pPr>
      <w:r w:rsidRPr="00087A32">
        <w:rPr>
          <w:rFonts w:cs="Calibri"/>
        </w:rPr>
        <w:pict>
          <v:shapetype id="_x0000_t32" coordsize="21600,21600" o:spt="32" o:oned="t" path="m,l21600,21600e" filled="f">
            <v:path arrowok="t" fillok="f" o:connecttype="none"/>
            <o:lock v:ext="edit" shapetype="t"/>
          </v:shapetype>
          <v:shape id="_x0000_s2050" type="#_x0000_t32" style="position:absolute;left:0;text-align:left;margin-left:1.5pt;margin-top:7.05pt;width:409.5pt;height:.05pt;z-index:1" o:preferrelative="t" filled="t">
            <v:stroke miterlimit="2"/>
          </v:shape>
        </w:pict>
      </w:r>
      <w:r w:rsidR="0058078A">
        <w:tab/>
      </w:r>
    </w:p>
    <w:p w:rsidR="009F0D31" w:rsidRDefault="0058078A">
      <w:pPr>
        <w:tabs>
          <w:tab w:val="right" w:pos="8306"/>
        </w:tabs>
        <w:rPr>
          <w:rFonts w:ascii="仿宋" w:eastAsia="仿宋" w:hAnsi="仿宋" w:cs="仿宋"/>
          <w:sz w:val="32"/>
          <w:szCs w:val="36"/>
        </w:rPr>
      </w:pPr>
      <w:r>
        <w:rPr>
          <w:rFonts w:ascii="黑体" w:eastAsia="黑体" w:hint="eastAsia"/>
          <w:b/>
          <w:sz w:val="32"/>
          <w:szCs w:val="36"/>
        </w:rPr>
        <w:t xml:space="preserve">                                           </w:t>
      </w:r>
      <w:r>
        <w:rPr>
          <w:rFonts w:ascii="仿宋" w:eastAsia="仿宋" w:hAnsi="仿宋" w:cs="仿宋" w:hint="eastAsia"/>
          <w:sz w:val="32"/>
          <w:szCs w:val="36"/>
        </w:rPr>
        <w:t>（A</w:t>
      </w:r>
      <w:r w:rsidR="002A5F98">
        <w:rPr>
          <w:rFonts w:ascii="仿宋" w:eastAsia="仿宋" w:hAnsi="仿宋" w:cs="仿宋" w:hint="eastAsia"/>
          <w:sz w:val="32"/>
          <w:szCs w:val="36"/>
        </w:rPr>
        <w:t>1</w:t>
      </w:r>
      <w:r>
        <w:rPr>
          <w:rFonts w:ascii="仿宋" w:eastAsia="仿宋" w:hAnsi="仿宋" w:cs="仿宋" w:hint="eastAsia"/>
          <w:sz w:val="32"/>
          <w:szCs w:val="36"/>
        </w:rPr>
        <w:t>类）</w:t>
      </w:r>
    </w:p>
    <w:p w:rsidR="009F0D31" w:rsidRDefault="0058078A">
      <w:pPr>
        <w:snapToGrid w:val="0"/>
        <w:spacing w:line="521" w:lineRule="atLeast"/>
        <w:ind w:firstLine="680"/>
        <w:rPr>
          <w:rFonts w:ascii="仿宋" w:eastAsia="仿宋" w:hAnsi="仿宋" w:cs="仿宋"/>
        </w:rPr>
      </w:pPr>
      <w:r>
        <w:rPr>
          <w:rFonts w:ascii="仿宋" w:eastAsia="仿宋" w:hAnsi="仿宋" w:cs="仿宋" w:hint="eastAsia"/>
          <w:sz w:val="31"/>
        </w:rPr>
        <w:t xml:space="preserve">                           本民议字〔20</w:t>
      </w:r>
      <w:r w:rsidR="00AE5C9C">
        <w:rPr>
          <w:rFonts w:ascii="仿宋" w:eastAsia="仿宋" w:hAnsi="仿宋" w:cs="仿宋" w:hint="eastAsia"/>
          <w:sz w:val="31"/>
        </w:rPr>
        <w:t>21</w:t>
      </w:r>
      <w:r>
        <w:rPr>
          <w:rFonts w:ascii="仿宋" w:eastAsia="仿宋" w:hAnsi="仿宋" w:cs="仿宋" w:hint="eastAsia"/>
          <w:sz w:val="31"/>
        </w:rPr>
        <w:t>〕第</w:t>
      </w:r>
      <w:r w:rsidR="002D67E3">
        <w:rPr>
          <w:rFonts w:ascii="仿宋" w:eastAsia="仿宋" w:hAnsi="仿宋" w:cs="仿宋" w:hint="eastAsia"/>
          <w:sz w:val="31"/>
        </w:rPr>
        <w:t>7</w:t>
      </w:r>
      <w:r>
        <w:rPr>
          <w:rFonts w:ascii="仿宋" w:eastAsia="仿宋" w:hAnsi="仿宋" w:cs="仿宋" w:hint="eastAsia"/>
          <w:sz w:val="31"/>
        </w:rPr>
        <w:t>号</w:t>
      </w:r>
    </w:p>
    <w:p w:rsidR="009F0D31" w:rsidRDefault="009F0D31">
      <w:pPr>
        <w:jc w:val="center"/>
        <w:rPr>
          <w:rFonts w:ascii="黑体" w:eastAsia="黑体"/>
          <w:b/>
          <w:sz w:val="36"/>
          <w:szCs w:val="36"/>
        </w:rPr>
      </w:pPr>
    </w:p>
    <w:p w:rsidR="00AE5C9C" w:rsidRPr="001334C6" w:rsidRDefault="00AE5C9C" w:rsidP="001334C6">
      <w:pPr>
        <w:jc w:val="center"/>
        <w:rPr>
          <w:rFonts w:ascii="黑体" w:eastAsia="黑体"/>
          <w:b/>
          <w:sz w:val="36"/>
          <w:szCs w:val="36"/>
        </w:rPr>
      </w:pPr>
      <w:r w:rsidRPr="00AE5C9C">
        <w:rPr>
          <w:rFonts w:ascii="宋体" w:hAnsi="宋体" w:cs="宋体" w:hint="eastAsia"/>
          <w:sz w:val="44"/>
          <w:szCs w:val="44"/>
        </w:rPr>
        <w:t>关于本溪市人民代表大会</w:t>
      </w:r>
    </w:p>
    <w:p w:rsidR="00AA336D" w:rsidRPr="00AA336D" w:rsidRDefault="00AE5C9C" w:rsidP="001334C6">
      <w:pPr>
        <w:tabs>
          <w:tab w:val="right" w:pos="8306"/>
        </w:tabs>
        <w:spacing w:line="640" w:lineRule="exact"/>
        <w:jc w:val="center"/>
        <w:rPr>
          <w:rFonts w:ascii="宋体" w:hAnsi="宋体" w:cs="宋体"/>
          <w:sz w:val="44"/>
          <w:szCs w:val="44"/>
        </w:rPr>
      </w:pPr>
      <w:r w:rsidRPr="00AE5C9C">
        <w:rPr>
          <w:rFonts w:ascii="宋体" w:hAnsi="宋体" w:cs="宋体" w:hint="eastAsia"/>
          <w:sz w:val="44"/>
          <w:szCs w:val="44"/>
        </w:rPr>
        <w:t>第十六届四次会议第</w:t>
      </w:r>
      <w:r w:rsidR="001334C6">
        <w:rPr>
          <w:rFonts w:ascii="宋体" w:hAnsi="宋体" w:cs="宋体" w:hint="eastAsia"/>
          <w:sz w:val="44"/>
          <w:szCs w:val="44"/>
        </w:rPr>
        <w:t>4199</w:t>
      </w:r>
      <w:r w:rsidRPr="00AE5C9C">
        <w:rPr>
          <w:rFonts w:ascii="宋体" w:hAnsi="宋体" w:cs="宋体" w:hint="eastAsia"/>
          <w:sz w:val="44"/>
          <w:szCs w:val="44"/>
        </w:rPr>
        <w:t>号建议的答复</w:t>
      </w:r>
    </w:p>
    <w:p w:rsidR="00AA336D" w:rsidRPr="00AA336D" w:rsidRDefault="00AA336D" w:rsidP="001334C6">
      <w:pPr>
        <w:spacing w:line="560" w:lineRule="exact"/>
        <w:jc w:val="center"/>
        <w:rPr>
          <w:rFonts w:ascii="仿宋_GB2312" w:eastAsia="仿宋_GB2312" w:hAnsi="仿宋_GB2312" w:cs="仿宋_GB2312"/>
          <w:sz w:val="32"/>
          <w:szCs w:val="32"/>
        </w:rPr>
      </w:pPr>
    </w:p>
    <w:p w:rsidR="002D67E3" w:rsidRDefault="002D67E3" w:rsidP="002D67E3">
      <w:pPr>
        <w:tabs>
          <w:tab w:val="right" w:pos="8306"/>
        </w:tabs>
        <w:rPr>
          <w:rFonts w:ascii="仿宋_GB2312" w:eastAsia="仿宋_GB2312"/>
          <w:sz w:val="32"/>
          <w:szCs w:val="32"/>
        </w:rPr>
      </w:pPr>
      <w:bookmarkStart w:id="0" w:name="_GoBack"/>
      <w:bookmarkEnd w:id="0"/>
      <w:r>
        <w:rPr>
          <w:rFonts w:ascii="仿宋_GB2312" w:eastAsia="仿宋_GB2312" w:hint="eastAsia"/>
          <w:sz w:val="32"/>
          <w:szCs w:val="32"/>
        </w:rPr>
        <w:t>单麒（仇登伟、何彦霞、李宏坡、刘天忠、王敏、朱丽艳、史贵生）代表：</w:t>
      </w:r>
    </w:p>
    <w:p w:rsidR="002D67E3" w:rsidRDefault="001334C6" w:rsidP="002D67E3">
      <w:pPr>
        <w:tabs>
          <w:tab w:val="right" w:pos="8306"/>
        </w:tabs>
        <w:ind w:firstLineChars="200" w:firstLine="640"/>
        <w:rPr>
          <w:rFonts w:ascii="仿宋_GB2312" w:eastAsia="仿宋_GB2312"/>
          <w:sz w:val="32"/>
          <w:szCs w:val="32"/>
        </w:rPr>
      </w:pPr>
      <w:r>
        <w:rPr>
          <w:rFonts w:ascii="仿宋_GB2312" w:eastAsia="仿宋_GB2312" w:hint="eastAsia"/>
          <w:sz w:val="32"/>
          <w:szCs w:val="32"/>
        </w:rPr>
        <w:t>您（你</w:t>
      </w:r>
      <w:r w:rsidR="002D67E3">
        <w:rPr>
          <w:rFonts w:ascii="仿宋_GB2312" w:eastAsia="仿宋_GB2312" w:hint="eastAsia"/>
          <w:sz w:val="32"/>
          <w:szCs w:val="32"/>
        </w:rPr>
        <w:t>们）提出的《关于提高我市社区（村）工作者待遇的建议》收悉。现答复如下：</w:t>
      </w:r>
    </w:p>
    <w:p w:rsidR="002D67E3" w:rsidRDefault="002D67E3" w:rsidP="002D67E3">
      <w:pPr>
        <w:tabs>
          <w:tab w:val="right" w:pos="8306"/>
        </w:tabs>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一、关于社区工作者退休年龄问题</w:t>
      </w:r>
    </w:p>
    <w:p w:rsidR="002D67E3" w:rsidRDefault="002D67E3" w:rsidP="002D67E3">
      <w:pPr>
        <w:tabs>
          <w:tab w:val="right" w:pos="8306"/>
        </w:tabs>
        <w:ind w:firstLineChars="200" w:firstLine="640"/>
        <w:rPr>
          <w:rFonts w:ascii="仿宋_GB2312" w:eastAsia="仿宋_GB2312"/>
          <w:sz w:val="32"/>
          <w:szCs w:val="32"/>
        </w:rPr>
      </w:pPr>
      <w:r>
        <w:rPr>
          <w:rFonts w:ascii="仿宋_GB2312" w:eastAsia="仿宋_GB2312" w:hint="eastAsia"/>
          <w:sz w:val="32"/>
          <w:szCs w:val="32"/>
        </w:rPr>
        <w:t>《本溪市社区工作者管理办法》（本政办发〔2017〕38号）第四十一条规定：“（四）社区居委会和社区党组织的专职成员达到法定退休年龄的，比照社区服务工作站人员的规定办理，也可转为社区居委会或社区党组织的非专职成员，停发社区工作者的报酬待遇。”</w:t>
      </w:r>
      <w:r>
        <w:rPr>
          <w:rFonts w:ascii="仿宋" w:eastAsia="仿宋" w:hAnsi="仿宋" w:cs="仿宋" w:hint="eastAsia"/>
          <w:sz w:val="32"/>
          <w:szCs w:val="32"/>
        </w:rPr>
        <w:t xml:space="preserve"> 辽宁省人力资源和社会保障厅《关于贯彻基本养老保险法律规定若干问题的通知》（辽人社〔2012〕277号）第十二条规定，2004年1月1日后登</w:t>
      </w:r>
      <w:r>
        <w:rPr>
          <w:rFonts w:ascii="仿宋" w:eastAsia="仿宋" w:hAnsi="仿宋" w:cs="仿宋" w:hint="eastAsia"/>
          <w:sz w:val="32"/>
          <w:szCs w:val="32"/>
        </w:rPr>
        <w:lastRenderedPageBreak/>
        <w:t>记参保的个体工商户女性从业人员、女性自由职业者，后转移到城镇企业单位接续缴纳基本养老保险费的，其退休年龄仍按国家确定55岁掌握。因此，社区工作者的具体退休年龄，与其参保方式、参保时间密切相关，按照现有政策规定，尚不具备自由选择退休年龄的条件。</w:t>
      </w:r>
    </w:p>
    <w:p w:rsidR="002D67E3" w:rsidRDefault="002D67E3" w:rsidP="002D67E3">
      <w:pPr>
        <w:tabs>
          <w:tab w:val="right" w:pos="8306"/>
        </w:tabs>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二、关于提高社区工作者参保缴费比例,提高社会保障和医疗保障问题</w:t>
      </w:r>
    </w:p>
    <w:p w:rsidR="002D67E3" w:rsidRDefault="002D67E3" w:rsidP="002D67E3">
      <w:pPr>
        <w:tabs>
          <w:tab w:val="right" w:pos="8306"/>
        </w:tabs>
        <w:ind w:firstLineChars="200" w:firstLine="640"/>
        <w:rPr>
          <w:rFonts w:ascii="仿宋" w:eastAsia="仿宋" w:hAnsi="仿宋" w:cs="仿宋"/>
          <w:sz w:val="32"/>
          <w:szCs w:val="32"/>
        </w:rPr>
      </w:pPr>
      <w:r>
        <w:rPr>
          <w:rFonts w:ascii="仿宋" w:eastAsia="仿宋" w:hAnsi="仿宋" w:cs="仿宋" w:hint="eastAsia"/>
          <w:sz w:val="32"/>
          <w:szCs w:val="32"/>
        </w:rPr>
        <w:t>《本溪市人民政府办公厅关于本溪市提高全市社区工作者报酬标准的通知》（本政办发〔2017〕24号）规定：“为全市社区工作者由缴纳“三险”增加达到缴纳“五险”。新增加缴纳社区工作者“三险”达到“五险”后，由于参保方式的转变，新增部分财政预算支出，由县（区）财政负担。”《本溪市社区工作者管理办法》第六条第（二）款规定：“社区工作者参保、缴费，按照《中华人民共和国社会保险法》及相关政策规定执行。”目前，全市社区工作者完全按照企业职工参加社会保险规定基数和比例缴纳费用，其中养老保险缴费比例为单位16%、个人8%，医疗保险单位8.5%、个人2%，不存在提高缴费比例空间。</w:t>
      </w:r>
    </w:p>
    <w:p w:rsidR="002D67E3" w:rsidRDefault="002D67E3" w:rsidP="002D67E3">
      <w:pPr>
        <w:tabs>
          <w:tab w:val="right" w:pos="8306"/>
        </w:tabs>
        <w:ind w:firstLineChars="200" w:firstLine="640"/>
        <w:rPr>
          <w:rFonts w:ascii="仿宋" w:eastAsia="仿宋" w:hAnsi="仿宋" w:cs="仿宋"/>
          <w:sz w:val="32"/>
          <w:szCs w:val="32"/>
        </w:rPr>
      </w:pPr>
      <w:r>
        <w:rPr>
          <w:rFonts w:ascii="仿宋" w:eastAsia="仿宋" w:hAnsi="仿宋" w:cs="仿宋" w:hint="eastAsia"/>
          <w:sz w:val="32"/>
          <w:szCs w:val="32"/>
        </w:rPr>
        <w:t>目前，我市两县社区工作者退休后仍可以享受门诊医疗费。为妥善解决城区社区工作者退休后门诊医疗费问题，市民政局会于2月22日同市医保局、市人社局、市社保中心有关领导和业务科室负责人召开专题协调会，四城区和高新</w:t>
      </w:r>
      <w:r>
        <w:rPr>
          <w:rFonts w:ascii="仿宋" w:eastAsia="仿宋" w:hAnsi="仿宋" w:cs="仿宋" w:hint="eastAsia"/>
          <w:sz w:val="32"/>
          <w:szCs w:val="32"/>
        </w:rPr>
        <w:lastRenderedPageBreak/>
        <w:t>区民政部门相关领导和业务人员参加协调会，就门诊医疗费问题提出初步解决方案。2月24日，市民政局组织四城区和高新区民政部门相关领导和业务人员到本溪县人社局（民政局）实地学习了解社区工作者参加养老保险、医疗保险的实际操作流程，为解决城区社区工作者参保、退休问题积累经验。</w:t>
      </w:r>
    </w:p>
    <w:p w:rsidR="002D67E3" w:rsidRDefault="002D67E3" w:rsidP="002D67E3">
      <w:pPr>
        <w:tabs>
          <w:tab w:val="right" w:pos="8306"/>
        </w:tabs>
        <w:ind w:firstLineChars="200" w:firstLine="640"/>
        <w:rPr>
          <w:rFonts w:ascii="仿宋_GB2312" w:eastAsia="仿宋_GB2312" w:cs="黑体"/>
          <w:sz w:val="32"/>
          <w:szCs w:val="32"/>
        </w:rPr>
      </w:pPr>
      <w:r>
        <w:rPr>
          <w:rFonts w:ascii="仿宋" w:eastAsia="仿宋" w:hAnsi="仿宋" w:cs="仿宋" w:hint="eastAsia"/>
          <w:sz w:val="32"/>
          <w:szCs w:val="32"/>
        </w:rPr>
        <w:t>下一步，市民政局将继续跟进关注各区、高新区理顺社区工作者参保、办理退休手续问题，保障社区工作者退休后门诊医疗待遇的解决办法和操作进度。</w:t>
      </w:r>
      <w:r>
        <w:rPr>
          <w:rFonts w:ascii="宋体" w:hAnsi="宋体" w:hint="eastAsia"/>
          <w:sz w:val="18"/>
        </w:rPr>
        <w:br/>
      </w:r>
      <w:r>
        <w:rPr>
          <w:rFonts w:ascii="黑体" w:eastAsia="黑体" w:hAnsi="黑体" w:hint="eastAsia"/>
          <w:sz w:val="32"/>
          <w:szCs w:val="32"/>
        </w:rPr>
        <w:t xml:space="preserve">    三、关于逐步提高社区工作者公积金缴费比例问题</w:t>
      </w:r>
    </w:p>
    <w:p w:rsidR="002D67E3" w:rsidRDefault="002D67E3" w:rsidP="002D67E3">
      <w:pPr>
        <w:rPr>
          <w:rFonts w:ascii="仿宋" w:eastAsia="仿宋" w:hAnsi="仿宋" w:cs="仿宋"/>
          <w:sz w:val="32"/>
          <w:szCs w:val="32"/>
        </w:rPr>
      </w:pPr>
      <w:r>
        <w:rPr>
          <w:sz w:val="32"/>
          <w:szCs w:val="32"/>
        </w:rPr>
        <w:t xml:space="preserve">    </w:t>
      </w:r>
      <w:r>
        <w:rPr>
          <w:rFonts w:ascii="仿宋" w:eastAsia="仿宋" w:hAnsi="仿宋" w:cs="仿宋" w:hint="eastAsia"/>
          <w:sz w:val="32"/>
          <w:szCs w:val="32"/>
        </w:rPr>
        <w:t>《住房公积金管理条例》（国务院令第262号）第十八条规定:“职工和单位住房公积金的缴存比例均不得低于职工上一年度月平均工资的5％；有条件的城市，可以适当提高缴存比例。具体缴存比例由住房公积金管理委员会拟订，经本级人民政府审核后，报省、自治区、直辖市人民政府批准”。住房城乡建设部财政部人民银行《关于改进住房公积金缴存机制进一步降低企业成本的通知》（建金〔2018〕45号）规定：“住房公积金缴存比例下限为5%，上限由各地区按照《住房公积金管理条例》规定的程序确定，最高不得超过12%。缴存单位可在5%至当地规定的上限区间内，自主确定住房公积金缴存比例。”《本溪市住房公积金管理条例》第十条规定：“职工和单位应按规定的缴存比例缴存住房公积</w:t>
      </w:r>
      <w:r>
        <w:rPr>
          <w:rFonts w:ascii="仿宋" w:eastAsia="仿宋" w:hAnsi="仿宋" w:cs="仿宋" w:hint="eastAsia"/>
          <w:sz w:val="32"/>
          <w:szCs w:val="32"/>
        </w:rPr>
        <w:lastRenderedPageBreak/>
        <w:t>金。我市职工和单位住房公积金的缴存比例不得低于职工上一年度月平均工资的5%。有条件的单位，经职工代表大会同意，可以申请适当提高单位的住房公积金缴存比例。最高缴存比例按照上级人民政府的规定执行，但必须经管理中心和管委会审核，报省批准”。</w:t>
      </w:r>
    </w:p>
    <w:p w:rsidR="002D67E3" w:rsidRDefault="002D67E3" w:rsidP="002D67E3">
      <w:pPr>
        <w:rPr>
          <w:rFonts w:ascii="仿宋" w:eastAsia="仿宋" w:hAnsi="仿宋" w:cs="仿宋"/>
          <w:sz w:val="32"/>
          <w:szCs w:val="32"/>
        </w:rPr>
      </w:pPr>
      <w:r>
        <w:rPr>
          <w:rFonts w:ascii="仿宋" w:eastAsia="仿宋" w:hAnsi="仿宋" w:cs="仿宋" w:hint="eastAsia"/>
          <w:sz w:val="32"/>
          <w:szCs w:val="32"/>
        </w:rPr>
        <w:t xml:space="preserve">    根据以上规定，在我市缴存住房公积金的单位可根据缴存能力在5%至12%之间自主确定缴存比例。</w:t>
      </w:r>
    </w:p>
    <w:p w:rsidR="002D67E3" w:rsidRDefault="002D67E3" w:rsidP="002D67E3">
      <w:pPr>
        <w:tabs>
          <w:tab w:val="right" w:pos="8306"/>
        </w:tabs>
        <w:ind w:firstLineChars="200" w:firstLine="640"/>
        <w:rPr>
          <w:rFonts w:ascii="仿宋" w:eastAsia="仿宋" w:hAnsi="仿宋" w:cs="仿宋"/>
          <w:sz w:val="32"/>
          <w:szCs w:val="32"/>
        </w:rPr>
      </w:pPr>
      <w:r>
        <w:rPr>
          <w:rFonts w:ascii="仿宋" w:eastAsia="仿宋" w:hAnsi="仿宋" w:cs="仿宋" w:hint="eastAsia"/>
          <w:sz w:val="32"/>
          <w:szCs w:val="32"/>
        </w:rPr>
        <w:t>目前，全省社区工作者享受住房公积金待遇的市有8个，其他6个市未享受此待遇。《本溪市人民政府办公厅关于本溪市提高全市社区工作者报酬标准的通知》（本政办发〔2017〕24号）规定：“为社区工作者按照5％缴纳住房公积金新增的单位负担部分财政支出，由县（区）财政负担。”我市各县区、高新区依此规定为社区工作者缴存了住房公积金。因此，能否逐步提高社区工作者公积金缴费比例，取决于各县区和高新区财力情况。</w:t>
      </w:r>
    </w:p>
    <w:p w:rsidR="002D67E3" w:rsidRDefault="002D67E3" w:rsidP="002D67E3">
      <w:pPr>
        <w:tabs>
          <w:tab w:val="right" w:pos="8306"/>
        </w:tabs>
        <w:ind w:firstLineChars="200" w:firstLine="640"/>
        <w:rPr>
          <w:rFonts w:ascii="仿宋" w:eastAsia="仿宋" w:hAnsi="仿宋" w:cs="仿宋"/>
          <w:sz w:val="32"/>
          <w:szCs w:val="32"/>
        </w:rPr>
      </w:pPr>
      <w:r>
        <w:rPr>
          <w:rFonts w:ascii="仿宋" w:eastAsia="仿宋" w:hAnsi="仿宋" w:cs="仿宋" w:hint="eastAsia"/>
          <w:sz w:val="32"/>
          <w:szCs w:val="32"/>
        </w:rPr>
        <w:t>2月份，市民政局就提高社区工作者住房公积金缴存比例问题与各县区民政部进行情况沟通，各县区民政部门对提高住房公积金缴存比例所需资金进行了测算，向本级政府进行汇报。</w:t>
      </w:r>
    </w:p>
    <w:p w:rsidR="001334C6" w:rsidRDefault="002D67E3" w:rsidP="002D67E3">
      <w:pPr>
        <w:tabs>
          <w:tab w:val="right" w:pos="8306"/>
        </w:tabs>
        <w:ind w:firstLineChars="200" w:firstLine="640"/>
        <w:rPr>
          <w:rFonts w:ascii="宋体" w:hAnsi="宋体"/>
          <w:sz w:val="18"/>
        </w:rPr>
      </w:pPr>
      <w:r>
        <w:rPr>
          <w:rFonts w:ascii="仿宋" w:eastAsia="仿宋" w:hAnsi="仿宋" w:cs="仿宋" w:hint="eastAsia"/>
          <w:sz w:val="32"/>
          <w:szCs w:val="32"/>
        </w:rPr>
        <w:t>下一步，市民政局将继续跟进关注各县区解决社区工作者住房公积金缴存比例问题的解决办法和操作进度。</w:t>
      </w:r>
      <w:r>
        <w:rPr>
          <w:rFonts w:ascii="宋体" w:hAnsi="宋体" w:hint="eastAsia"/>
          <w:sz w:val="18"/>
        </w:rPr>
        <w:br/>
        <w:t xml:space="preserve">                                                       </w:t>
      </w:r>
    </w:p>
    <w:p w:rsidR="001334C6" w:rsidRDefault="001334C6" w:rsidP="001334C6">
      <w:pPr>
        <w:tabs>
          <w:tab w:val="right" w:pos="8306"/>
        </w:tabs>
        <w:ind w:firstLineChars="200" w:firstLine="360"/>
        <w:rPr>
          <w:rFonts w:ascii="宋体" w:hAnsi="宋体"/>
          <w:sz w:val="18"/>
        </w:rPr>
      </w:pPr>
    </w:p>
    <w:p w:rsidR="001334C6" w:rsidRDefault="001334C6" w:rsidP="001334C6">
      <w:pPr>
        <w:tabs>
          <w:tab w:val="right" w:pos="8306"/>
        </w:tabs>
        <w:ind w:firstLineChars="200" w:firstLine="360"/>
        <w:rPr>
          <w:rFonts w:ascii="宋体" w:hAnsi="宋体"/>
          <w:sz w:val="18"/>
        </w:rPr>
      </w:pPr>
    </w:p>
    <w:p w:rsidR="001334C6" w:rsidRDefault="001334C6" w:rsidP="001334C6">
      <w:pPr>
        <w:tabs>
          <w:tab w:val="right" w:pos="8306"/>
        </w:tabs>
        <w:ind w:firstLineChars="200" w:firstLine="360"/>
        <w:rPr>
          <w:rFonts w:ascii="宋体" w:hAnsi="宋体"/>
          <w:sz w:val="18"/>
        </w:rPr>
      </w:pPr>
    </w:p>
    <w:p w:rsidR="001334C6" w:rsidRDefault="001334C6" w:rsidP="001334C6">
      <w:pPr>
        <w:tabs>
          <w:tab w:val="right" w:pos="8306"/>
        </w:tabs>
        <w:ind w:firstLineChars="200" w:firstLine="360"/>
        <w:rPr>
          <w:rFonts w:ascii="宋体" w:hAnsi="宋体"/>
          <w:sz w:val="18"/>
        </w:rPr>
      </w:pPr>
    </w:p>
    <w:p w:rsidR="002D67E3" w:rsidRDefault="002D67E3" w:rsidP="0003249F">
      <w:pPr>
        <w:tabs>
          <w:tab w:val="right" w:pos="8306"/>
        </w:tabs>
        <w:ind w:firstLineChars="1450" w:firstLine="4640"/>
        <w:rPr>
          <w:rFonts w:ascii="仿宋_GB2312" w:eastAsia="仿宋_GB2312" w:cs="黑体"/>
          <w:sz w:val="32"/>
          <w:szCs w:val="32"/>
        </w:rPr>
      </w:pPr>
      <w:r>
        <w:rPr>
          <w:rFonts w:ascii="仿宋_GB2312" w:eastAsia="仿宋_GB2312" w:hint="eastAsia"/>
          <w:sz w:val="32"/>
          <w:szCs w:val="32"/>
        </w:rPr>
        <w:t>本溪市民政局</w:t>
      </w:r>
    </w:p>
    <w:p w:rsidR="002D67E3" w:rsidRDefault="002D67E3" w:rsidP="002D67E3">
      <w:pPr>
        <w:tabs>
          <w:tab w:val="right" w:pos="8306"/>
        </w:tabs>
        <w:ind w:firstLineChars="930" w:firstLine="2976"/>
        <w:jc w:val="center"/>
        <w:rPr>
          <w:szCs w:val="24"/>
        </w:rPr>
      </w:pPr>
      <w:r>
        <w:rPr>
          <w:rFonts w:ascii="仿宋_GB2312" w:eastAsia="仿宋_GB2312" w:hint="eastAsia"/>
          <w:sz w:val="32"/>
          <w:szCs w:val="32"/>
        </w:rPr>
        <w:t>2021年3月1日</w:t>
      </w: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1334C6" w:rsidRDefault="001334C6" w:rsidP="002D67E3">
      <w:pPr>
        <w:tabs>
          <w:tab w:val="right" w:pos="8306"/>
        </w:tabs>
        <w:jc w:val="left"/>
        <w:rPr>
          <w:rFonts w:ascii="仿宋_GB2312" w:eastAsia="仿宋_GB2312"/>
          <w:sz w:val="28"/>
          <w:szCs w:val="28"/>
        </w:rPr>
      </w:pPr>
    </w:p>
    <w:p w:rsidR="002D67E3" w:rsidRDefault="002D67E3" w:rsidP="002D67E3">
      <w:pPr>
        <w:tabs>
          <w:tab w:val="right" w:pos="8306"/>
        </w:tabs>
        <w:jc w:val="left"/>
        <w:rPr>
          <w:rFonts w:ascii="仿宋_GB2312" w:eastAsia="仿宋_GB2312"/>
          <w:sz w:val="28"/>
          <w:szCs w:val="28"/>
        </w:rPr>
      </w:pPr>
      <w:r>
        <w:rPr>
          <w:rFonts w:ascii="仿宋_GB2312" w:eastAsia="仿宋_GB2312" w:hint="eastAsia"/>
          <w:sz w:val="28"/>
          <w:szCs w:val="28"/>
        </w:rPr>
        <w:t>责任领导：刘亮</w:t>
      </w:r>
    </w:p>
    <w:p w:rsidR="002D67E3" w:rsidRDefault="002D67E3" w:rsidP="002D67E3">
      <w:pPr>
        <w:tabs>
          <w:tab w:val="right" w:pos="8306"/>
        </w:tabs>
        <w:jc w:val="left"/>
        <w:rPr>
          <w:rFonts w:ascii="仿宋_GB2312" w:eastAsia="仿宋_GB2312"/>
          <w:sz w:val="28"/>
          <w:szCs w:val="28"/>
        </w:rPr>
      </w:pPr>
      <w:r>
        <w:rPr>
          <w:rFonts w:ascii="仿宋_GB2312" w:eastAsia="仿宋_GB2312" w:hint="eastAsia"/>
          <w:sz w:val="28"/>
          <w:szCs w:val="28"/>
        </w:rPr>
        <w:t>联系人及电话：鲍亮，43841756</w:t>
      </w:r>
    </w:p>
    <w:p w:rsidR="009F0D31" w:rsidRPr="0003249F" w:rsidRDefault="002D67E3" w:rsidP="0003249F">
      <w:pPr>
        <w:tabs>
          <w:tab w:val="right" w:pos="8306"/>
        </w:tabs>
        <w:jc w:val="left"/>
        <w:rPr>
          <w:rFonts w:ascii="仿宋_GB2312" w:eastAsia="仿宋_GB2312" w:hAnsi="方正小标宋简体" w:cs="方正小标宋简体"/>
          <w:sz w:val="32"/>
          <w:szCs w:val="32"/>
        </w:rPr>
      </w:pPr>
      <w:r>
        <w:rPr>
          <w:rFonts w:ascii="仿宋_GB2312" w:eastAsia="仿宋_GB2312" w:hint="eastAsia"/>
          <w:sz w:val="28"/>
          <w:szCs w:val="28"/>
        </w:rPr>
        <w:t>抄送：市人大人选委，市政府办公室（各共同主办或协办单位）。</w:t>
      </w:r>
    </w:p>
    <w:sectPr w:rsidR="009F0D31" w:rsidRPr="0003249F" w:rsidSect="009F0D31">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C7A" w:rsidRDefault="006F2C7A" w:rsidP="001334C6">
      <w:r>
        <w:separator/>
      </w:r>
    </w:p>
  </w:endnote>
  <w:endnote w:type="continuationSeparator" w:id="0">
    <w:p w:rsidR="006F2C7A" w:rsidRDefault="006F2C7A" w:rsidP="00133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4C6" w:rsidRDefault="00087A32">
    <w:pPr>
      <w:pStyle w:val="a3"/>
      <w:jc w:val="center"/>
    </w:pPr>
    <w:fldSimple w:instr=" PAGE   \* MERGEFORMAT ">
      <w:r w:rsidR="002A5F98" w:rsidRPr="002A5F98">
        <w:rPr>
          <w:noProof/>
          <w:lang w:val="zh-CN"/>
        </w:rPr>
        <w:t>1</w:t>
      </w:r>
    </w:fldSimple>
  </w:p>
  <w:p w:rsidR="001334C6" w:rsidRDefault="001334C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C7A" w:rsidRDefault="006F2C7A" w:rsidP="001334C6">
      <w:r>
        <w:separator/>
      </w:r>
    </w:p>
  </w:footnote>
  <w:footnote w:type="continuationSeparator" w:id="0">
    <w:p w:rsidR="006F2C7A" w:rsidRDefault="006F2C7A" w:rsidP="001334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0D31"/>
    <w:rsid w:val="0003249F"/>
    <w:rsid w:val="0005284F"/>
    <w:rsid w:val="00087A32"/>
    <w:rsid w:val="001334C6"/>
    <w:rsid w:val="002A5F98"/>
    <w:rsid w:val="002A69C0"/>
    <w:rsid w:val="002D67E3"/>
    <w:rsid w:val="00344B5C"/>
    <w:rsid w:val="003C0A37"/>
    <w:rsid w:val="004B49EB"/>
    <w:rsid w:val="0054151C"/>
    <w:rsid w:val="0058078A"/>
    <w:rsid w:val="00586711"/>
    <w:rsid w:val="006F2C7A"/>
    <w:rsid w:val="00700860"/>
    <w:rsid w:val="008D55B1"/>
    <w:rsid w:val="0094193B"/>
    <w:rsid w:val="009F0D31"/>
    <w:rsid w:val="00A00DAD"/>
    <w:rsid w:val="00A76361"/>
    <w:rsid w:val="00AA336D"/>
    <w:rsid w:val="00AE5C9C"/>
    <w:rsid w:val="00C6461D"/>
    <w:rsid w:val="00E706DA"/>
    <w:rsid w:val="00ED6574"/>
    <w:rsid w:val="00F578FC"/>
    <w:rsid w:val="00FA71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9cbee0" strokecolor="#739cc3">
      <v:fill color="#9cbee0" color2="#bbd5f0" type="gradient">
        <o:fill v:ext="view" type="gradientUnscaled"/>
      </v:fill>
      <v:stroke color="#739cc3" weight="1.25pt" miterlimit="2"/>
    </o:shapedefaults>
    <o:shapelayout v:ext="edit">
      <o:idmap v:ext="edit" data="1,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D3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F0D3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F0D31"/>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rsid w:val="009F0D31"/>
    <w:rPr>
      <w:sz w:val="24"/>
    </w:rPr>
  </w:style>
  <w:style w:type="character" w:styleId="a6">
    <w:name w:val="page number"/>
    <w:basedOn w:val="a0"/>
    <w:semiHidden/>
    <w:unhideWhenUsed/>
    <w:rsid w:val="009F0D31"/>
  </w:style>
  <w:style w:type="character" w:customStyle="1" w:styleId="Char0">
    <w:name w:val="页眉 Char"/>
    <w:basedOn w:val="a0"/>
    <w:link w:val="a4"/>
    <w:uiPriority w:val="99"/>
    <w:rsid w:val="009F0D31"/>
    <w:rPr>
      <w:sz w:val="18"/>
      <w:szCs w:val="18"/>
    </w:rPr>
  </w:style>
  <w:style w:type="character" w:customStyle="1" w:styleId="Char">
    <w:name w:val="页脚 Char"/>
    <w:basedOn w:val="a0"/>
    <w:link w:val="a3"/>
    <w:uiPriority w:val="99"/>
    <w:rsid w:val="009F0D31"/>
    <w:rPr>
      <w:sz w:val="18"/>
      <w:szCs w:val="18"/>
    </w:rPr>
  </w:style>
</w:styles>
</file>

<file path=word/webSettings.xml><?xml version="1.0" encoding="utf-8"?>
<w:webSettings xmlns:r="http://schemas.openxmlformats.org/officeDocument/2006/relationships" xmlns:w="http://schemas.openxmlformats.org/wordprocessingml/2006/main">
  <w:divs>
    <w:div w:id="83378774">
      <w:bodyDiv w:val="1"/>
      <w:marLeft w:val="0"/>
      <w:marRight w:val="0"/>
      <w:marTop w:val="0"/>
      <w:marBottom w:val="0"/>
      <w:divBdr>
        <w:top w:val="none" w:sz="0" w:space="0" w:color="auto"/>
        <w:left w:val="none" w:sz="0" w:space="0" w:color="auto"/>
        <w:bottom w:val="none" w:sz="0" w:space="0" w:color="auto"/>
        <w:right w:val="none" w:sz="0" w:space="0" w:color="auto"/>
      </w:divBdr>
    </w:div>
    <w:div w:id="89065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321</Words>
  <Characters>1834</Characters>
  <Application>Microsoft Office Word</Application>
  <DocSecurity>0</DocSecurity>
  <Lines>15</Lines>
  <Paragraphs>4</Paragraphs>
  <ScaleCrop>false</ScaleCrop>
  <Company>Microsoft</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本溪市民政局</dc:title>
  <dc:creator>Microsoft</dc:creator>
  <cp:lastModifiedBy>Administrator</cp:lastModifiedBy>
  <cp:revision>14</cp:revision>
  <dcterms:created xsi:type="dcterms:W3CDTF">2020-02-07T00:55:00Z</dcterms:created>
  <dcterms:modified xsi:type="dcterms:W3CDTF">2021-03-29T01:50:00Z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