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987C40">
      <w:pPr>
        <w:keepNext w:val="0"/>
        <w:keepLines w:val="0"/>
        <w:pageBreakBefore w:val="0"/>
        <w:widowControl w:val="0"/>
        <w:kinsoku/>
        <w:wordWrap/>
        <w:overflowPunct/>
        <w:topLinePunct w:val="0"/>
        <w:autoSpaceDE/>
        <w:autoSpaceDN/>
        <w:bidi w:val="0"/>
        <w:adjustRightInd/>
        <w:snapToGrid/>
        <w:spacing w:line="0" w:lineRule="atLeast"/>
        <w:jc w:val="center"/>
        <w:textAlignment w:val="auto"/>
        <w:rPr>
          <w:rFonts w:hint="eastAsia" w:ascii="方正小标宋简体" w:hAnsi="方正小标宋简体" w:eastAsia="方正小标宋简体" w:cs="方正小标宋简体"/>
          <w:i w:val="0"/>
          <w:iCs w:val="0"/>
          <w:sz w:val="44"/>
          <w:szCs w:val="44"/>
          <w:lang w:eastAsia="zh-CN"/>
        </w:rPr>
      </w:pPr>
      <w:bookmarkStart w:id="0" w:name="_GoBack"/>
      <w:bookmarkEnd w:id="0"/>
      <w:r>
        <w:rPr>
          <w:rFonts w:hint="eastAsia" w:ascii="方正小标宋简体" w:hAnsi="方正小标宋简体" w:eastAsia="方正小标宋简体" w:cs="方正小标宋简体"/>
          <w:i w:val="0"/>
          <w:iCs w:val="0"/>
          <w:sz w:val="44"/>
          <w:szCs w:val="44"/>
          <w:lang w:eastAsia="zh-CN"/>
        </w:rPr>
        <w:t>殡葬服务非基础项目清单</w:t>
      </w:r>
    </w:p>
    <w:p w14:paraId="2180DC7A">
      <w:pPr>
        <w:pStyle w:val="8"/>
        <w:keepNext w:val="0"/>
        <w:keepLines w:val="0"/>
        <w:pageBreakBefore w:val="0"/>
        <w:widowControl w:val="0"/>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CESI楷体-GB2312" w:hAnsi="CESI楷体-GB2312" w:eastAsia="CESI楷体-GB2312" w:cs="CESI楷体-GB2312"/>
          <w:b w:val="0"/>
          <w:bCs w:val="0"/>
          <w:w w:val="100"/>
          <w:sz w:val="32"/>
          <w:szCs w:val="32"/>
          <w:highlight w:val="none"/>
          <w:lang w:val="en-US" w:eastAsia="zh-CN"/>
        </w:rPr>
      </w:pPr>
      <w:r>
        <w:rPr>
          <w:rFonts w:hint="eastAsia" w:ascii="CESI楷体-GB2312" w:hAnsi="CESI楷体-GB2312" w:eastAsia="CESI楷体-GB2312" w:cs="CESI楷体-GB2312"/>
          <w:b w:val="0"/>
          <w:bCs w:val="0"/>
          <w:w w:val="100"/>
          <w:sz w:val="32"/>
          <w:szCs w:val="32"/>
          <w:highlight w:val="none"/>
          <w:lang w:val="en-US" w:eastAsia="zh-CN"/>
        </w:rPr>
        <w:t>（一次征求社会意见稿）</w:t>
      </w:r>
    </w:p>
    <w:tbl>
      <w:tblPr>
        <w:tblStyle w:val="5"/>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49"/>
        <w:gridCol w:w="1327"/>
        <w:gridCol w:w="8827"/>
        <w:gridCol w:w="876"/>
        <w:gridCol w:w="1393"/>
      </w:tblGrid>
      <w:tr w14:paraId="2F50B26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549" w:type="dxa"/>
            <w:tcBorders>
              <w:tl2br w:val="nil"/>
              <w:tr2bl w:val="nil"/>
            </w:tcBorders>
            <w:noWrap w:val="0"/>
            <w:vAlign w:val="center"/>
          </w:tcPr>
          <w:p w14:paraId="782AE09D">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黑体" w:hAnsi="黑体" w:eastAsia="黑体" w:cs="黑体"/>
                <w:sz w:val="21"/>
                <w:szCs w:val="21"/>
                <w:highlight w:val="none"/>
                <w:vertAlign w:val="baseline"/>
                <w:lang w:val="en-US" w:eastAsia="zh-CN"/>
              </w:rPr>
            </w:pPr>
            <w:r>
              <w:rPr>
                <w:rFonts w:hint="eastAsia" w:ascii="黑体" w:hAnsi="黑体" w:eastAsia="黑体" w:cs="黑体"/>
                <w:sz w:val="21"/>
                <w:szCs w:val="21"/>
                <w:highlight w:val="none"/>
                <w:lang w:val="en-US" w:eastAsia="zh-CN"/>
              </w:rPr>
              <w:t>序号</w:t>
            </w:r>
            <w:r>
              <w:rPr>
                <w:rFonts w:hint="eastAsia" w:ascii="黑体" w:hAnsi="黑体" w:eastAsia="黑体" w:cs="黑体"/>
                <w:sz w:val="21"/>
                <w:szCs w:val="21"/>
                <w:highlight w:val="none"/>
                <w:lang w:val="en-US" w:eastAsia="zh-CN"/>
              </w:rPr>
              <w:br w:type="page"/>
            </w:r>
          </w:p>
        </w:tc>
        <w:tc>
          <w:tcPr>
            <w:tcW w:w="1327" w:type="dxa"/>
            <w:tcBorders>
              <w:tl2br w:val="nil"/>
              <w:tr2bl w:val="nil"/>
            </w:tcBorders>
            <w:noWrap w:val="0"/>
            <w:vAlign w:val="center"/>
          </w:tcPr>
          <w:p w14:paraId="1D8E9ED4">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黑体" w:hAnsi="黑体" w:eastAsia="黑体" w:cs="黑体"/>
                <w:sz w:val="21"/>
                <w:szCs w:val="21"/>
                <w:highlight w:val="none"/>
                <w:vertAlign w:val="baseline"/>
                <w:lang w:val="en-US" w:eastAsia="zh-CN"/>
              </w:rPr>
            </w:pPr>
            <w:r>
              <w:rPr>
                <w:rFonts w:hint="eastAsia" w:ascii="黑体" w:hAnsi="黑体" w:eastAsia="黑体" w:cs="黑体"/>
                <w:sz w:val="21"/>
                <w:szCs w:val="21"/>
                <w:highlight w:val="none"/>
                <w:vertAlign w:val="baseline"/>
                <w:lang w:val="en-US" w:eastAsia="zh-CN"/>
              </w:rPr>
              <w:t>服务项目</w:t>
            </w:r>
          </w:p>
        </w:tc>
        <w:tc>
          <w:tcPr>
            <w:tcW w:w="8827" w:type="dxa"/>
            <w:tcBorders>
              <w:tl2br w:val="nil"/>
              <w:tr2bl w:val="nil"/>
            </w:tcBorders>
            <w:noWrap w:val="0"/>
            <w:vAlign w:val="center"/>
          </w:tcPr>
          <w:p w14:paraId="0D7B13E6">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黑体" w:hAnsi="黑体" w:eastAsia="黑体" w:cs="黑体"/>
                <w:sz w:val="21"/>
                <w:szCs w:val="21"/>
                <w:highlight w:val="none"/>
                <w:vertAlign w:val="baseline"/>
                <w:lang w:val="en-US" w:eastAsia="zh-CN"/>
              </w:rPr>
            </w:pPr>
            <w:r>
              <w:rPr>
                <w:rFonts w:hint="eastAsia" w:ascii="黑体" w:hAnsi="黑体" w:eastAsia="黑体" w:cs="黑体"/>
                <w:sz w:val="21"/>
                <w:szCs w:val="21"/>
                <w:highlight w:val="none"/>
                <w:vertAlign w:val="baseline"/>
                <w:lang w:val="en-US" w:eastAsia="zh-CN"/>
              </w:rPr>
              <w:t>服务内容及标准</w:t>
            </w:r>
          </w:p>
        </w:tc>
        <w:tc>
          <w:tcPr>
            <w:tcW w:w="876" w:type="dxa"/>
            <w:tcBorders>
              <w:tl2br w:val="nil"/>
              <w:tr2bl w:val="nil"/>
            </w:tcBorders>
            <w:noWrap w:val="0"/>
            <w:vAlign w:val="center"/>
          </w:tcPr>
          <w:p w14:paraId="562B18D1">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黑体" w:hAnsi="黑体" w:eastAsia="黑体" w:cs="黑体"/>
                <w:sz w:val="21"/>
                <w:szCs w:val="21"/>
                <w:highlight w:val="none"/>
                <w:vertAlign w:val="baseline"/>
                <w:lang w:val="en-US" w:eastAsia="zh-CN"/>
              </w:rPr>
            </w:pPr>
            <w:r>
              <w:rPr>
                <w:rFonts w:hint="eastAsia" w:ascii="黑体" w:hAnsi="黑体" w:eastAsia="黑体" w:cs="黑体"/>
                <w:sz w:val="21"/>
                <w:szCs w:val="21"/>
                <w:highlight w:val="none"/>
                <w:vertAlign w:val="baseline"/>
                <w:lang w:val="en-US" w:eastAsia="zh-CN"/>
              </w:rPr>
              <w:t>计价</w:t>
            </w:r>
          </w:p>
          <w:p w14:paraId="43C57795">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黑体" w:hAnsi="黑体" w:eastAsia="黑体" w:cs="黑体"/>
                <w:sz w:val="21"/>
                <w:szCs w:val="21"/>
                <w:highlight w:val="none"/>
                <w:vertAlign w:val="baseline"/>
                <w:lang w:val="en-US" w:eastAsia="zh-CN"/>
              </w:rPr>
            </w:pPr>
            <w:r>
              <w:rPr>
                <w:rFonts w:hint="eastAsia" w:ascii="黑体" w:hAnsi="黑体" w:eastAsia="黑体" w:cs="黑体"/>
                <w:sz w:val="21"/>
                <w:szCs w:val="21"/>
                <w:highlight w:val="none"/>
                <w:vertAlign w:val="baseline"/>
                <w:lang w:val="en-US" w:eastAsia="zh-CN"/>
              </w:rPr>
              <w:t>方式</w:t>
            </w:r>
          </w:p>
        </w:tc>
        <w:tc>
          <w:tcPr>
            <w:tcW w:w="1393" w:type="dxa"/>
            <w:tcBorders>
              <w:tl2br w:val="nil"/>
              <w:tr2bl w:val="nil"/>
            </w:tcBorders>
            <w:noWrap w:val="0"/>
            <w:vAlign w:val="center"/>
          </w:tcPr>
          <w:p w14:paraId="5E878664">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黑体" w:hAnsi="黑体" w:eastAsia="黑体" w:cs="黑体"/>
                <w:sz w:val="21"/>
                <w:szCs w:val="21"/>
                <w:highlight w:val="none"/>
                <w:vertAlign w:val="baseline"/>
                <w:lang w:val="en-US" w:eastAsia="zh-CN"/>
              </w:rPr>
            </w:pPr>
            <w:r>
              <w:rPr>
                <w:rFonts w:hint="eastAsia" w:ascii="黑体" w:hAnsi="黑体" w:eastAsia="黑体" w:cs="黑体"/>
                <w:sz w:val="21"/>
                <w:szCs w:val="21"/>
                <w:highlight w:val="none"/>
                <w:vertAlign w:val="baseline"/>
                <w:lang w:val="en-US" w:eastAsia="zh-CN"/>
              </w:rPr>
              <w:t>收费管理</w:t>
            </w:r>
          </w:p>
          <w:p w14:paraId="10742D69">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黑体" w:hAnsi="黑体" w:eastAsia="黑体" w:cs="黑体"/>
                <w:sz w:val="21"/>
                <w:szCs w:val="21"/>
                <w:highlight w:val="none"/>
                <w:vertAlign w:val="baseline"/>
                <w:lang w:val="en-US" w:eastAsia="zh-CN"/>
              </w:rPr>
            </w:pPr>
            <w:r>
              <w:rPr>
                <w:rFonts w:hint="eastAsia" w:ascii="黑体" w:hAnsi="黑体" w:eastAsia="黑体" w:cs="黑体"/>
                <w:sz w:val="21"/>
                <w:szCs w:val="21"/>
                <w:highlight w:val="none"/>
                <w:vertAlign w:val="baseline"/>
                <w:lang w:val="en-US" w:eastAsia="zh-CN"/>
              </w:rPr>
              <w:t>方式</w:t>
            </w:r>
          </w:p>
        </w:tc>
      </w:tr>
      <w:tr w14:paraId="2D289B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549" w:type="dxa"/>
            <w:tcBorders>
              <w:tl2br w:val="nil"/>
              <w:tr2bl w:val="nil"/>
            </w:tcBorders>
            <w:noWrap w:val="0"/>
            <w:vAlign w:val="center"/>
          </w:tcPr>
          <w:p w14:paraId="2F683E84">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1</w:t>
            </w:r>
          </w:p>
        </w:tc>
        <w:tc>
          <w:tcPr>
            <w:tcW w:w="1327" w:type="dxa"/>
            <w:tcBorders>
              <w:tl2br w:val="nil"/>
              <w:tr2bl w:val="nil"/>
            </w:tcBorders>
            <w:noWrap w:val="0"/>
            <w:vAlign w:val="center"/>
          </w:tcPr>
          <w:p w14:paraId="79B46DFD">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守灵间</w:t>
            </w:r>
          </w:p>
          <w:p w14:paraId="166C333A">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租赁服务</w:t>
            </w:r>
          </w:p>
        </w:tc>
        <w:tc>
          <w:tcPr>
            <w:tcW w:w="8827" w:type="dxa"/>
            <w:tcBorders>
              <w:tl2br w:val="nil"/>
              <w:tr2bl w:val="nil"/>
            </w:tcBorders>
            <w:noWrap w:val="0"/>
            <w:vAlign w:val="center"/>
          </w:tcPr>
          <w:p w14:paraId="78F17898">
            <w:pPr>
              <w:pStyle w:val="8"/>
              <w:keepNext w:val="0"/>
              <w:keepLines w:val="0"/>
              <w:pageBreakBefore w:val="0"/>
              <w:widowControl w:val="0"/>
              <w:kinsoku/>
              <w:wordWrap/>
              <w:overflowPunct/>
              <w:topLinePunct w:val="0"/>
              <w:autoSpaceDE/>
              <w:autoSpaceDN/>
              <w:bidi w:val="0"/>
              <w:adjustRightInd/>
              <w:snapToGrid/>
              <w:spacing w:line="0" w:lineRule="atLeast"/>
              <w:ind w:firstLine="420" w:firstLineChars="200"/>
              <w:jc w:val="left"/>
              <w:textAlignment w:val="baseline"/>
              <w:rPr>
                <w:rFonts w:hint="eastAsia" w:ascii="仿宋_GB2312" w:hAnsi="仿宋_GB2312" w:eastAsia="仿宋_GB2312" w:cs="仿宋_GB2312"/>
                <w:sz w:val="21"/>
                <w:szCs w:val="21"/>
                <w:highlight w:val="none"/>
                <w:vertAlign w:val="baseline"/>
                <w:lang w:val="en-US" w:eastAsia="zh-CN"/>
              </w:rPr>
            </w:pPr>
            <w:r>
              <w:rPr>
                <w:rFonts w:hint="default" w:ascii="仿宋_GB2312" w:hAnsi="仿宋_GB2312" w:eastAsia="仿宋_GB2312" w:cs="仿宋_GB2312"/>
                <w:sz w:val="21"/>
                <w:szCs w:val="21"/>
                <w:highlight w:val="none"/>
                <w:vertAlign w:val="baseline"/>
                <w:lang w:val="en-US" w:eastAsia="zh-CN"/>
              </w:rPr>
              <w:t>遗体告别前，为丧属提供的集中祭奠、陪伴守夜、亲属接待的</w:t>
            </w:r>
            <w:r>
              <w:rPr>
                <w:rFonts w:hint="eastAsia" w:ascii="仿宋_GB2312" w:hAnsi="仿宋_GB2312" w:eastAsia="仿宋_GB2312" w:cs="仿宋_GB2312"/>
                <w:sz w:val="21"/>
                <w:szCs w:val="21"/>
                <w:highlight w:val="none"/>
                <w:vertAlign w:val="baseline"/>
                <w:lang w:val="en-US" w:eastAsia="zh-CN"/>
              </w:rPr>
              <w:t>场地、设施租赁</w:t>
            </w:r>
            <w:r>
              <w:rPr>
                <w:rFonts w:hint="default" w:ascii="仿宋_GB2312" w:hAnsi="仿宋_GB2312" w:eastAsia="仿宋_GB2312" w:cs="仿宋_GB2312"/>
                <w:sz w:val="21"/>
                <w:szCs w:val="21"/>
                <w:highlight w:val="none"/>
                <w:vertAlign w:val="baseline"/>
                <w:lang w:val="en-US" w:eastAsia="zh-CN"/>
              </w:rPr>
              <w:t>服务</w:t>
            </w:r>
            <w:r>
              <w:rPr>
                <w:rFonts w:hint="eastAsia" w:ascii="仿宋_GB2312" w:hAnsi="仿宋_GB2312" w:eastAsia="仿宋_GB2312" w:cs="仿宋_GB2312"/>
                <w:sz w:val="21"/>
                <w:szCs w:val="21"/>
                <w:highlight w:val="none"/>
                <w:vertAlign w:val="baseline"/>
                <w:lang w:val="en-US" w:eastAsia="zh-CN"/>
              </w:rPr>
              <w:t>，包括但不限于场地及音响、冷藏柜、绢花、花圈、供台、电子屏、桌椅床、饮水、垃圾处理等基础服务。</w:t>
            </w:r>
          </w:p>
          <w:p w14:paraId="78B518C0">
            <w:pPr>
              <w:pStyle w:val="8"/>
              <w:keepNext w:val="0"/>
              <w:keepLines w:val="0"/>
              <w:pageBreakBefore w:val="0"/>
              <w:widowControl w:val="0"/>
              <w:kinsoku/>
              <w:wordWrap/>
              <w:overflowPunct/>
              <w:topLinePunct w:val="0"/>
              <w:autoSpaceDE/>
              <w:autoSpaceDN/>
              <w:bidi w:val="0"/>
              <w:adjustRightInd/>
              <w:snapToGrid/>
              <w:spacing w:line="0" w:lineRule="atLeast"/>
              <w:ind w:firstLine="420" w:firstLineChars="200"/>
              <w:jc w:val="left"/>
              <w:textAlignment w:val="baseline"/>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按天收费。根据场地面积及设施不同，设置1-4档收费区间。不足24小时按1天计费。超出24小时不满36小时，按1.5天计费，超出36小时不满48小时，按2天计费，以此类推。计费时间以遗体安放至冷藏柜内起算，至遗体离开房间为止。</w:t>
            </w:r>
          </w:p>
        </w:tc>
        <w:tc>
          <w:tcPr>
            <w:tcW w:w="876" w:type="dxa"/>
            <w:tcBorders>
              <w:tl2br w:val="nil"/>
              <w:tr2bl w:val="nil"/>
            </w:tcBorders>
            <w:noWrap w:val="0"/>
            <w:vAlign w:val="center"/>
          </w:tcPr>
          <w:p w14:paraId="41FC48EF">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sz w:val="21"/>
                <w:szCs w:val="21"/>
                <w:highlight w:val="none"/>
                <w:vertAlign w:val="baseline"/>
                <w:lang w:val="en-US" w:eastAsia="zh-CN"/>
              </w:rPr>
            </w:pPr>
            <w:r>
              <w:rPr>
                <w:rFonts w:hint="default" w:ascii="仿宋_GB2312" w:hAnsi="仿宋_GB2312" w:eastAsia="仿宋_GB2312" w:cs="仿宋_GB2312"/>
                <w:sz w:val="21"/>
                <w:szCs w:val="21"/>
                <w:highlight w:val="none"/>
                <w:vertAlign w:val="baseline"/>
                <w:lang w:val="en-US" w:eastAsia="zh-CN"/>
              </w:rPr>
              <w:t>元/天</w:t>
            </w:r>
          </w:p>
        </w:tc>
        <w:tc>
          <w:tcPr>
            <w:tcW w:w="1393" w:type="dxa"/>
            <w:tcBorders>
              <w:tl2br w:val="nil"/>
              <w:tr2bl w:val="nil"/>
            </w:tcBorders>
            <w:noWrap w:val="0"/>
            <w:vAlign w:val="center"/>
          </w:tcPr>
          <w:p w14:paraId="4661C070">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市场调节价</w:t>
            </w:r>
          </w:p>
        </w:tc>
      </w:tr>
      <w:tr w14:paraId="1F25A9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549" w:type="dxa"/>
            <w:tcBorders>
              <w:tl2br w:val="nil"/>
              <w:tr2bl w:val="nil"/>
            </w:tcBorders>
            <w:noWrap w:val="0"/>
            <w:vAlign w:val="center"/>
          </w:tcPr>
          <w:p w14:paraId="01F561AE">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2</w:t>
            </w:r>
          </w:p>
        </w:tc>
        <w:tc>
          <w:tcPr>
            <w:tcW w:w="1327" w:type="dxa"/>
            <w:tcBorders>
              <w:tl2br w:val="nil"/>
              <w:tr2bl w:val="nil"/>
            </w:tcBorders>
            <w:noWrap w:val="0"/>
            <w:vAlign w:val="center"/>
          </w:tcPr>
          <w:p w14:paraId="1289E308">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sz w:val="21"/>
                <w:szCs w:val="21"/>
                <w:highlight w:val="none"/>
                <w:vertAlign w:val="baseline"/>
                <w:lang w:val="en-US" w:eastAsia="zh-CN"/>
              </w:rPr>
            </w:pPr>
            <w:r>
              <w:rPr>
                <w:rFonts w:hint="default" w:ascii="仿宋_GB2312" w:hAnsi="仿宋_GB2312" w:eastAsia="仿宋_GB2312" w:cs="仿宋_GB2312"/>
                <w:sz w:val="21"/>
                <w:szCs w:val="21"/>
                <w:highlight w:val="none"/>
                <w:vertAlign w:val="baseline"/>
                <w:lang w:val="en-US" w:eastAsia="zh-CN"/>
              </w:rPr>
              <w:t>冰柜遗体</w:t>
            </w:r>
          </w:p>
          <w:p w14:paraId="07D84970">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sz w:val="21"/>
                <w:szCs w:val="21"/>
                <w:highlight w:val="none"/>
                <w:vertAlign w:val="baseline"/>
                <w:lang w:val="en-US" w:eastAsia="zh-CN"/>
              </w:rPr>
            </w:pPr>
            <w:r>
              <w:rPr>
                <w:rFonts w:hint="default" w:ascii="仿宋_GB2312" w:hAnsi="仿宋_GB2312" w:eastAsia="仿宋_GB2312" w:cs="仿宋_GB2312"/>
                <w:sz w:val="21"/>
                <w:szCs w:val="21"/>
                <w:highlight w:val="none"/>
                <w:vertAlign w:val="baseline"/>
                <w:lang w:val="en-US" w:eastAsia="zh-CN"/>
              </w:rPr>
              <w:t>祭祀场地</w:t>
            </w:r>
          </w:p>
          <w:p w14:paraId="417C6DE5">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租赁服务</w:t>
            </w:r>
          </w:p>
        </w:tc>
        <w:tc>
          <w:tcPr>
            <w:tcW w:w="8827" w:type="dxa"/>
            <w:tcBorders>
              <w:tl2br w:val="nil"/>
              <w:tr2bl w:val="nil"/>
            </w:tcBorders>
            <w:noWrap w:val="0"/>
            <w:vAlign w:val="center"/>
          </w:tcPr>
          <w:p w14:paraId="77625694">
            <w:pPr>
              <w:pStyle w:val="8"/>
              <w:keepNext w:val="0"/>
              <w:keepLines w:val="0"/>
              <w:pageBreakBefore w:val="0"/>
              <w:widowControl w:val="0"/>
              <w:kinsoku/>
              <w:wordWrap/>
              <w:overflowPunct/>
              <w:topLinePunct w:val="0"/>
              <w:autoSpaceDE/>
              <w:autoSpaceDN/>
              <w:bidi w:val="0"/>
              <w:adjustRightInd/>
              <w:snapToGrid/>
              <w:spacing w:line="0" w:lineRule="atLeast"/>
              <w:ind w:firstLine="420" w:firstLineChars="200"/>
              <w:jc w:val="left"/>
              <w:textAlignment w:val="baseline"/>
              <w:rPr>
                <w:rFonts w:hint="default" w:ascii="仿宋_GB2312" w:hAnsi="仿宋_GB2312" w:eastAsia="仿宋_GB2312" w:cs="仿宋_GB2312"/>
                <w:sz w:val="21"/>
                <w:szCs w:val="21"/>
                <w:highlight w:val="none"/>
                <w:vertAlign w:val="baseline"/>
                <w:lang w:val="en-US" w:eastAsia="zh-CN"/>
              </w:rPr>
            </w:pPr>
            <w:r>
              <w:rPr>
                <w:rFonts w:hint="default" w:ascii="仿宋_GB2312" w:hAnsi="仿宋_GB2312" w:eastAsia="仿宋_GB2312" w:cs="仿宋_GB2312"/>
                <w:sz w:val="21"/>
                <w:szCs w:val="21"/>
                <w:highlight w:val="none"/>
                <w:vertAlign w:val="baseline"/>
                <w:lang w:val="en-US" w:eastAsia="zh-CN"/>
              </w:rPr>
              <w:t>遗体告别前，为丧属提供的</w:t>
            </w:r>
            <w:r>
              <w:rPr>
                <w:rFonts w:hint="eastAsia" w:ascii="仿宋_GB2312" w:hAnsi="仿宋_GB2312" w:eastAsia="仿宋_GB2312" w:cs="仿宋_GB2312"/>
                <w:sz w:val="21"/>
                <w:szCs w:val="21"/>
                <w:highlight w:val="none"/>
                <w:vertAlign w:val="baseline"/>
                <w:lang w:val="en-US" w:eastAsia="zh-CN"/>
              </w:rPr>
              <w:t>临时祭祀场地、设施租赁</w:t>
            </w:r>
            <w:r>
              <w:rPr>
                <w:rFonts w:hint="default" w:ascii="仿宋_GB2312" w:hAnsi="仿宋_GB2312" w:eastAsia="仿宋_GB2312" w:cs="仿宋_GB2312"/>
                <w:sz w:val="21"/>
                <w:szCs w:val="21"/>
                <w:highlight w:val="none"/>
                <w:vertAlign w:val="baseline"/>
                <w:lang w:val="en-US" w:eastAsia="zh-CN"/>
              </w:rPr>
              <w:t>服务</w:t>
            </w:r>
            <w:r>
              <w:rPr>
                <w:rFonts w:hint="eastAsia" w:ascii="仿宋_GB2312" w:hAnsi="仿宋_GB2312" w:eastAsia="仿宋_GB2312" w:cs="仿宋_GB2312"/>
                <w:sz w:val="21"/>
                <w:szCs w:val="21"/>
                <w:highlight w:val="none"/>
                <w:vertAlign w:val="baseline"/>
                <w:lang w:val="en-US" w:eastAsia="zh-CN"/>
              </w:rPr>
              <w:t>，包括但不限于场地及供台、绢花、花圈等基础服务。</w:t>
            </w:r>
          </w:p>
          <w:p w14:paraId="6B72E22D">
            <w:pPr>
              <w:pStyle w:val="8"/>
              <w:keepNext w:val="0"/>
              <w:keepLines w:val="0"/>
              <w:pageBreakBefore w:val="0"/>
              <w:widowControl w:val="0"/>
              <w:kinsoku/>
              <w:wordWrap/>
              <w:overflowPunct/>
              <w:topLinePunct w:val="0"/>
              <w:autoSpaceDE/>
              <w:autoSpaceDN/>
              <w:bidi w:val="0"/>
              <w:adjustRightInd/>
              <w:snapToGrid/>
              <w:spacing w:line="0" w:lineRule="atLeast"/>
              <w:ind w:firstLine="420" w:firstLineChars="200"/>
              <w:jc w:val="left"/>
              <w:textAlignment w:val="baseline"/>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按次收费。</w:t>
            </w:r>
            <w:r>
              <w:rPr>
                <w:rFonts w:hint="default" w:ascii="仿宋_GB2312" w:hAnsi="仿宋_GB2312" w:eastAsia="仿宋_GB2312" w:cs="仿宋_GB2312"/>
                <w:sz w:val="21"/>
                <w:szCs w:val="21"/>
                <w:highlight w:val="none"/>
                <w:vertAlign w:val="baseline"/>
                <w:lang w:val="en-US" w:eastAsia="zh-CN"/>
              </w:rPr>
              <w:t>此费用只针对进入冰柜的遗体收取</w:t>
            </w:r>
            <w:r>
              <w:rPr>
                <w:rFonts w:hint="eastAsia" w:ascii="仿宋_GB2312" w:hAnsi="仿宋_GB2312" w:eastAsia="仿宋_GB2312" w:cs="仿宋_GB2312"/>
                <w:sz w:val="21"/>
                <w:szCs w:val="21"/>
                <w:highlight w:val="none"/>
                <w:vertAlign w:val="baseline"/>
                <w:lang w:val="en-US" w:eastAsia="zh-CN"/>
              </w:rPr>
              <w:t>，</w:t>
            </w:r>
            <w:r>
              <w:rPr>
                <w:rFonts w:hint="default" w:ascii="仿宋_GB2312" w:hAnsi="仿宋_GB2312" w:eastAsia="仿宋_GB2312" w:cs="仿宋_GB2312"/>
                <w:sz w:val="21"/>
                <w:szCs w:val="21"/>
                <w:highlight w:val="none"/>
                <w:vertAlign w:val="baseline"/>
                <w:lang w:val="en-US" w:eastAsia="zh-CN"/>
              </w:rPr>
              <w:t>进入</w:t>
            </w:r>
            <w:r>
              <w:rPr>
                <w:rFonts w:hint="eastAsia" w:ascii="仿宋_GB2312" w:hAnsi="仿宋_GB2312" w:eastAsia="仿宋_GB2312" w:cs="仿宋_GB2312"/>
                <w:sz w:val="21"/>
                <w:szCs w:val="21"/>
                <w:highlight w:val="none"/>
                <w:vertAlign w:val="baseline"/>
                <w:lang w:val="en-US" w:eastAsia="zh-CN"/>
              </w:rPr>
              <w:t>守灵间</w:t>
            </w:r>
            <w:r>
              <w:rPr>
                <w:rFonts w:hint="default" w:ascii="仿宋_GB2312" w:hAnsi="仿宋_GB2312" w:eastAsia="仿宋_GB2312" w:cs="仿宋_GB2312"/>
                <w:sz w:val="21"/>
                <w:szCs w:val="21"/>
                <w:highlight w:val="none"/>
                <w:vertAlign w:val="baseline"/>
                <w:lang w:val="en-US" w:eastAsia="zh-CN"/>
              </w:rPr>
              <w:t>的遗体</w:t>
            </w:r>
            <w:r>
              <w:rPr>
                <w:rFonts w:hint="eastAsia" w:ascii="仿宋_GB2312" w:hAnsi="仿宋_GB2312" w:eastAsia="仿宋_GB2312" w:cs="仿宋_GB2312"/>
                <w:sz w:val="21"/>
                <w:szCs w:val="21"/>
                <w:highlight w:val="none"/>
                <w:vertAlign w:val="baseline"/>
                <w:lang w:val="en-US" w:eastAsia="zh-CN"/>
              </w:rPr>
              <w:t>或遗体告别</w:t>
            </w:r>
            <w:r>
              <w:rPr>
                <w:rFonts w:hint="default" w:ascii="仿宋_GB2312" w:hAnsi="仿宋_GB2312" w:eastAsia="仿宋_GB2312" w:cs="仿宋_GB2312"/>
                <w:sz w:val="21"/>
                <w:szCs w:val="21"/>
                <w:highlight w:val="none"/>
                <w:vertAlign w:val="baseline"/>
                <w:lang w:val="en-US" w:eastAsia="zh-CN"/>
              </w:rPr>
              <w:t>不收取。</w:t>
            </w:r>
          </w:p>
        </w:tc>
        <w:tc>
          <w:tcPr>
            <w:tcW w:w="876" w:type="dxa"/>
            <w:tcBorders>
              <w:tl2br w:val="nil"/>
              <w:tr2bl w:val="nil"/>
            </w:tcBorders>
            <w:noWrap w:val="0"/>
            <w:vAlign w:val="center"/>
          </w:tcPr>
          <w:p w14:paraId="556E6DD3">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sz w:val="21"/>
                <w:szCs w:val="21"/>
                <w:highlight w:val="none"/>
                <w:vertAlign w:val="baseline"/>
                <w:lang w:val="en-US" w:eastAsia="zh-CN"/>
              </w:rPr>
            </w:pPr>
            <w:r>
              <w:rPr>
                <w:rFonts w:hint="default" w:ascii="仿宋_GB2312" w:hAnsi="仿宋_GB2312" w:eastAsia="仿宋_GB2312" w:cs="仿宋_GB2312"/>
                <w:sz w:val="21"/>
                <w:szCs w:val="21"/>
                <w:highlight w:val="none"/>
                <w:vertAlign w:val="baseline"/>
                <w:lang w:val="en-US" w:eastAsia="zh-CN"/>
              </w:rPr>
              <w:t>元/次</w:t>
            </w:r>
          </w:p>
        </w:tc>
        <w:tc>
          <w:tcPr>
            <w:tcW w:w="1393" w:type="dxa"/>
            <w:tcBorders>
              <w:tl2br w:val="nil"/>
              <w:tr2bl w:val="nil"/>
            </w:tcBorders>
            <w:noWrap w:val="0"/>
            <w:vAlign w:val="center"/>
          </w:tcPr>
          <w:p w14:paraId="2B272617">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kern w:val="2"/>
                <w:sz w:val="21"/>
                <w:szCs w:val="21"/>
                <w:highlight w:val="none"/>
                <w:vertAlign w:val="baseline"/>
                <w:lang w:val="en-US" w:eastAsia="zh-CN" w:bidi="ar-SA"/>
              </w:rPr>
            </w:pPr>
            <w:r>
              <w:rPr>
                <w:rFonts w:hint="eastAsia" w:ascii="仿宋_GB2312" w:hAnsi="仿宋_GB2312" w:eastAsia="仿宋_GB2312" w:cs="仿宋_GB2312"/>
                <w:sz w:val="21"/>
                <w:szCs w:val="21"/>
                <w:highlight w:val="none"/>
                <w:vertAlign w:val="baseline"/>
                <w:lang w:val="en-US" w:eastAsia="zh-CN"/>
              </w:rPr>
              <w:t>市场调节价</w:t>
            </w:r>
          </w:p>
        </w:tc>
      </w:tr>
      <w:tr w14:paraId="5688FB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549" w:type="dxa"/>
            <w:tcBorders>
              <w:tl2br w:val="nil"/>
              <w:tr2bl w:val="nil"/>
            </w:tcBorders>
            <w:noWrap w:val="0"/>
            <w:vAlign w:val="center"/>
          </w:tcPr>
          <w:p w14:paraId="155BEBC0">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3</w:t>
            </w:r>
          </w:p>
        </w:tc>
        <w:tc>
          <w:tcPr>
            <w:tcW w:w="1327" w:type="dxa"/>
            <w:tcBorders>
              <w:tl2br w:val="nil"/>
              <w:tr2bl w:val="nil"/>
            </w:tcBorders>
            <w:noWrap w:val="0"/>
            <w:vAlign w:val="center"/>
          </w:tcPr>
          <w:p w14:paraId="06526F88">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遗物焚烧</w:t>
            </w:r>
          </w:p>
          <w:p w14:paraId="3345C7C6">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服务</w:t>
            </w:r>
          </w:p>
        </w:tc>
        <w:tc>
          <w:tcPr>
            <w:tcW w:w="8827" w:type="dxa"/>
            <w:tcBorders>
              <w:tl2br w:val="nil"/>
              <w:tr2bl w:val="nil"/>
            </w:tcBorders>
            <w:noWrap w:val="0"/>
            <w:vAlign w:val="center"/>
          </w:tcPr>
          <w:p w14:paraId="638BDB19">
            <w:pPr>
              <w:pStyle w:val="8"/>
              <w:keepNext w:val="0"/>
              <w:keepLines w:val="0"/>
              <w:pageBreakBefore w:val="0"/>
              <w:widowControl w:val="0"/>
              <w:kinsoku/>
              <w:wordWrap/>
              <w:overflowPunct/>
              <w:topLinePunct w:val="0"/>
              <w:autoSpaceDE/>
              <w:autoSpaceDN/>
              <w:bidi w:val="0"/>
              <w:adjustRightInd/>
              <w:snapToGrid/>
              <w:spacing w:line="0" w:lineRule="atLeast"/>
              <w:ind w:firstLine="420" w:firstLineChars="200"/>
              <w:jc w:val="left"/>
              <w:textAlignment w:val="baseline"/>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为丧属提供遗物焚烧场地及保障服务，包括但不限于提供逝者遗物、花圈等焚烧场地及消防安全、灰烬处理、污染气体处理等基础服务。</w:t>
            </w:r>
          </w:p>
          <w:p w14:paraId="6BB56D58">
            <w:pPr>
              <w:pStyle w:val="8"/>
              <w:keepNext w:val="0"/>
              <w:keepLines w:val="0"/>
              <w:pageBreakBefore w:val="0"/>
              <w:widowControl w:val="0"/>
              <w:kinsoku/>
              <w:wordWrap/>
              <w:overflowPunct/>
              <w:topLinePunct w:val="0"/>
              <w:autoSpaceDE/>
              <w:autoSpaceDN/>
              <w:bidi w:val="0"/>
              <w:adjustRightInd/>
              <w:snapToGrid/>
              <w:spacing w:line="0" w:lineRule="atLeast"/>
              <w:ind w:firstLine="420" w:firstLineChars="200"/>
              <w:jc w:val="left"/>
              <w:textAlignment w:val="baseline"/>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按次收费。保证丧属一次性焚烧全部遗物。</w:t>
            </w:r>
          </w:p>
        </w:tc>
        <w:tc>
          <w:tcPr>
            <w:tcW w:w="876" w:type="dxa"/>
            <w:tcBorders>
              <w:tl2br w:val="nil"/>
              <w:tr2bl w:val="nil"/>
            </w:tcBorders>
            <w:noWrap w:val="0"/>
            <w:vAlign w:val="center"/>
          </w:tcPr>
          <w:p w14:paraId="29C00E82">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sz w:val="21"/>
                <w:szCs w:val="21"/>
                <w:highlight w:val="none"/>
                <w:vertAlign w:val="baseline"/>
                <w:lang w:val="en-US" w:eastAsia="zh-CN"/>
              </w:rPr>
            </w:pPr>
            <w:r>
              <w:rPr>
                <w:rFonts w:hint="default" w:ascii="仿宋_GB2312" w:hAnsi="仿宋_GB2312" w:eastAsia="仿宋_GB2312" w:cs="仿宋_GB2312"/>
                <w:sz w:val="21"/>
                <w:szCs w:val="21"/>
                <w:highlight w:val="none"/>
                <w:vertAlign w:val="baseline"/>
                <w:lang w:val="en-US" w:eastAsia="zh-CN"/>
              </w:rPr>
              <w:t>元/次</w:t>
            </w:r>
          </w:p>
        </w:tc>
        <w:tc>
          <w:tcPr>
            <w:tcW w:w="1393" w:type="dxa"/>
            <w:tcBorders>
              <w:tl2br w:val="nil"/>
              <w:tr2bl w:val="nil"/>
            </w:tcBorders>
            <w:noWrap w:val="0"/>
            <w:vAlign w:val="center"/>
          </w:tcPr>
          <w:p w14:paraId="1AA32260">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kern w:val="2"/>
                <w:sz w:val="21"/>
                <w:szCs w:val="21"/>
                <w:highlight w:val="none"/>
                <w:vertAlign w:val="baseline"/>
                <w:lang w:val="en-US" w:eastAsia="zh-CN" w:bidi="ar-SA"/>
              </w:rPr>
            </w:pPr>
            <w:r>
              <w:rPr>
                <w:rFonts w:hint="eastAsia" w:ascii="仿宋_GB2312" w:hAnsi="仿宋_GB2312" w:eastAsia="仿宋_GB2312" w:cs="仿宋_GB2312"/>
                <w:sz w:val="21"/>
                <w:szCs w:val="21"/>
                <w:highlight w:val="none"/>
                <w:vertAlign w:val="baseline"/>
                <w:lang w:val="en-US" w:eastAsia="zh-CN"/>
              </w:rPr>
              <w:t>市场调节价</w:t>
            </w:r>
          </w:p>
        </w:tc>
      </w:tr>
      <w:tr w14:paraId="3DA3DF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549" w:type="dxa"/>
            <w:tcBorders>
              <w:tl2br w:val="nil"/>
              <w:tr2bl w:val="nil"/>
            </w:tcBorders>
            <w:noWrap w:val="0"/>
            <w:vAlign w:val="center"/>
          </w:tcPr>
          <w:p w14:paraId="29EA438E">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4</w:t>
            </w:r>
          </w:p>
        </w:tc>
        <w:tc>
          <w:tcPr>
            <w:tcW w:w="1327" w:type="dxa"/>
            <w:tcBorders>
              <w:tl2br w:val="nil"/>
              <w:tr2bl w:val="nil"/>
            </w:tcBorders>
            <w:noWrap w:val="0"/>
            <w:vAlign w:val="center"/>
          </w:tcPr>
          <w:p w14:paraId="61FD9A4A">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sz w:val="21"/>
                <w:szCs w:val="21"/>
                <w:highlight w:val="none"/>
                <w:vertAlign w:val="baseline"/>
                <w:lang w:val="en-US" w:eastAsia="zh-CN"/>
              </w:rPr>
            </w:pPr>
            <w:r>
              <w:rPr>
                <w:rFonts w:hint="default" w:ascii="仿宋_GB2312" w:hAnsi="仿宋_GB2312" w:eastAsia="仿宋_GB2312" w:cs="仿宋_GB2312"/>
                <w:sz w:val="21"/>
                <w:szCs w:val="21"/>
                <w:highlight w:val="none"/>
                <w:vertAlign w:val="baseline"/>
                <w:lang w:val="en-US" w:eastAsia="zh-CN"/>
              </w:rPr>
              <w:t>非工作时间殡葬服务</w:t>
            </w:r>
          </w:p>
        </w:tc>
        <w:tc>
          <w:tcPr>
            <w:tcW w:w="8827" w:type="dxa"/>
            <w:tcBorders>
              <w:tl2br w:val="nil"/>
              <w:tr2bl w:val="nil"/>
            </w:tcBorders>
            <w:noWrap w:val="0"/>
            <w:vAlign w:val="center"/>
          </w:tcPr>
          <w:p w14:paraId="35446215">
            <w:pPr>
              <w:pStyle w:val="8"/>
              <w:keepNext w:val="0"/>
              <w:keepLines w:val="0"/>
              <w:pageBreakBefore w:val="0"/>
              <w:widowControl w:val="0"/>
              <w:kinsoku/>
              <w:wordWrap/>
              <w:overflowPunct/>
              <w:topLinePunct w:val="0"/>
              <w:autoSpaceDE/>
              <w:autoSpaceDN/>
              <w:bidi w:val="0"/>
              <w:adjustRightInd/>
              <w:snapToGrid/>
              <w:spacing w:line="0" w:lineRule="atLeast"/>
              <w:ind w:firstLine="420" w:firstLineChars="200"/>
              <w:jc w:val="left"/>
              <w:textAlignment w:val="baseline"/>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在非正常工作时间，为丧属提供遗体火化服务。</w:t>
            </w:r>
            <w:r>
              <w:rPr>
                <w:rFonts w:hint="eastAsia" w:ascii="仿宋_GB2312" w:hAnsi="仿宋_GB2312" w:eastAsia="仿宋_GB2312" w:cs="仿宋_GB2312"/>
                <w:color w:val="auto"/>
                <w:sz w:val="21"/>
                <w:szCs w:val="21"/>
                <w:highlight w:val="none"/>
                <w:vertAlign w:val="baseline"/>
                <w:lang w:val="en-US" w:eastAsia="zh-CN"/>
              </w:rPr>
              <w:t>具体非工作时间以对应殡仪服务中心为准。</w:t>
            </w:r>
          </w:p>
          <w:p w14:paraId="2186B300">
            <w:pPr>
              <w:pStyle w:val="8"/>
              <w:keepNext w:val="0"/>
              <w:keepLines w:val="0"/>
              <w:pageBreakBefore w:val="0"/>
              <w:widowControl w:val="0"/>
              <w:kinsoku/>
              <w:wordWrap/>
              <w:overflowPunct/>
              <w:topLinePunct w:val="0"/>
              <w:autoSpaceDE/>
              <w:autoSpaceDN/>
              <w:bidi w:val="0"/>
              <w:adjustRightInd/>
              <w:snapToGrid/>
              <w:spacing w:line="0" w:lineRule="atLeast"/>
              <w:ind w:firstLine="420" w:firstLineChars="200"/>
              <w:jc w:val="left"/>
              <w:textAlignment w:val="baseline"/>
              <w:rPr>
                <w:rFonts w:hint="default" w:ascii="仿宋_GB2312" w:hAnsi="仿宋_GB2312" w:eastAsia="仿宋_GB2312" w:cs="仿宋_GB2312"/>
                <w:strike/>
                <w:dstrike w:val="0"/>
                <w:sz w:val="21"/>
                <w:szCs w:val="21"/>
                <w:highlight w:val="none"/>
                <w:vertAlign w:val="baseline"/>
                <w:lang w:val="en-US" w:eastAsia="zh-CN"/>
              </w:rPr>
            </w:pPr>
            <w:r>
              <w:rPr>
                <w:rFonts w:hint="eastAsia" w:ascii="仿宋_GB2312" w:hAnsi="仿宋_GB2312" w:eastAsia="仿宋_GB2312" w:cs="仿宋_GB2312"/>
                <w:strike w:val="0"/>
                <w:dstrike w:val="0"/>
                <w:sz w:val="21"/>
                <w:szCs w:val="21"/>
                <w:highlight w:val="none"/>
                <w:vertAlign w:val="baseline"/>
                <w:lang w:val="en-US" w:eastAsia="zh-CN"/>
              </w:rPr>
              <w:t>按小时收费。以火化机启动开始计费，至完成骨灰装盒（袋）为止。不足1小时按1小时计费。</w:t>
            </w:r>
          </w:p>
        </w:tc>
        <w:tc>
          <w:tcPr>
            <w:tcW w:w="876" w:type="dxa"/>
            <w:tcBorders>
              <w:tl2br w:val="nil"/>
              <w:tr2bl w:val="nil"/>
            </w:tcBorders>
            <w:noWrap w:val="0"/>
            <w:vAlign w:val="center"/>
          </w:tcPr>
          <w:p w14:paraId="76A2CACD">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sz w:val="21"/>
                <w:szCs w:val="21"/>
                <w:highlight w:val="none"/>
                <w:vertAlign w:val="baseline"/>
                <w:lang w:val="en-US" w:eastAsia="zh-CN"/>
              </w:rPr>
            </w:pPr>
            <w:r>
              <w:rPr>
                <w:rFonts w:hint="default" w:ascii="仿宋_GB2312" w:hAnsi="仿宋_GB2312" w:eastAsia="仿宋_GB2312" w:cs="仿宋_GB2312"/>
                <w:w w:val="85"/>
                <w:sz w:val="21"/>
                <w:szCs w:val="21"/>
                <w:highlight w:val="none"/>
                <w:vertAlign w:val="baseline"/>
                <w:lang w:val="en-US" w:eastAsia="zh-CN"/>
              </w:rPr>
              <w:t>元/</w:t>
            </w:r>
            <w:r>
              <w:rPr>
                <w:rFonts w:hint="eastAsia" w:ascii="仿宋_GB2312" w:hAnsi="仿宋_GB2312" w:eastAsia="仿宋_GB2312" w:cs="仿宋_GB2312"/>
                <w:w w:val="85"/>
                <w:sz w:val="21"/>
                <w:szCs w:val="21"/>
                <w:highlight w:val="none"/>
                <w:vertAlign w:val="baseline"/>
                <w:lang w:val="en-US" w:eastAsia="zh-CN"/>
              </w:rPr>
              <w:t>小时</w:t>
            </w:r>
          </w:p>
        </w:tc>
        <w:tc>
          <w:tcPr>
            <w:tcW w:w="1393" w:type="dxa"/>
            <w:tcBorders>
              <w:tl2br w:val="nil"/>
              <w:tr2bl w:val="nil"/>
            </w:tcBorders>
            <w:noWrap w:val="0"/>
            <w:vAlign w:val="center"/>
          </w:tcPr>
          <w:p w14:paraId="345E6DCB">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kern w:val="2"/>
                <w:sz w:val="21"/>
                <w:szCs w:val="21"/>
                <w:highlight w:val="none"/>
                <w:vertAlign w:val="baseline"/>
                <w:lang w:val="en-US" w:eastAsia="zh-CN" w:bidi="ar-SA"/>
              </w:rPr>
            </w:pPr>
            <w:r>
              <w:rPr>
                <w:rFonts w:hint="eastAsia" w:ascii="仿宋_GB2312" w:hAnsi="仿宋_GB2312" w:eastAsia="仿宋_GB2312" w:cs="仿宋_GB2312"/>
                <w:sz w:val="21"/>
                <w:szCs w:val="21"/>
                <w:highlight w:val="none"/>
                <w:vertAlign w:val="baseline"/>
                <w:lang w:val="en-US" w:eastAsia="zh-CN"/>
              </w:rPr>
              <w:t>市场调节价</w:t>
            </w:r>
          </w:p>
        </w:tc>
      </w:tr>
      <w:tr w14:paraId="17D741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549" w:type="dxa"/>
            <w:tcBorders>
              <w:tl2br w:val="nil"/>
              <w:tr2bl w:val="nil"/>
            </w:tcBorders>
            <w:noWrap w:val="0"/>
            <w:vAlign w:val="center"/>
          </w:tcPr>
          <w:p w14:paraId="71226ABA">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5</w:t>
            </w:r>
          </w:p>
        </w:tc>
        <w:tc>
          <w:tcPr>
            <w:tcW w:w="1327" w:type="dxa"/>
            <w:tcBorders>
              <w:tl2br w:val="nil"/>
              <w:tr2bl w:val="nil"/>
            </w:tcBorders>
            <w:noWrap w:val="0"/>
            <w:vAlign w:val="center"/>
          </w:tcPr>
          <w:p w14:paraId="38A205C3">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骨灰包盒</w:t>
            </w:r>
          </w:p>
          <w:p w14:paraId="780A2BED">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服务</w:t>
            </w:r>
          </w:p>
        </w:tc>
        <w:tc>
          <w:tcPr>
            <w:tcW w:w="8827" w:type="dxa"/>
            <w:tcBorders>
              <w:tl2br w:val="nil"/>
              <w:tr2bl w:val="nil"/>
            </w:tcBorders>
            <w:noWrap w:val="0"/>
            <w:vAlign w:val="center"/>
          </w:tcPr>
          <w:p w14:paraId="6BDCF554">
            <w:pPr>
              <w:pStyle w:val="8"/>
              <w:keepNext w:val="0"/>
              <w:keepLines w:val="0"/>
              <w:pageBreakBefore w:val="0"/>
              <w:widowControl w:val="0"/>
              <w:kinsoku/>
              <w:wordWrap/>
              <w:overflowPunct/>
              <w:topLinePunct w:val="0"/>
              <w:autoSpaceDE/>
              <w:autoSpaceDN/>
              <w:bidi w:val="0"/>
              <w:adjustRightInd/>
              <w:snapToGrid/>
              <w:spacing w:line="0" w:lineRule="atLeast"/>
              <w:jc w:val="left"/>
              <w:textAlignment w:val="baseline"/>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为丧属提供骨灰盒包裹服务，包括但不限于骨灰盒包裹避光红布、免费提供塑料袋封装等基础服务。</w:t>
            </w:r>
          </w:p>
          <w:p w14:paraId="20675213">
            <w:pPr>
              <w:pStyle w:val="8"/>
              <w:keepNext w:val="0"/>
              <w:keepLines w:val="0"/>
              <w:pageBreakBefore w:val="0"/>
              <w:widowControl w:val="0"/>
              <w:kinsoku/>
              <w:wordWrap/>
              <w:overflowPunct/>
              <w:topLinePunct w:val="0"/>
              <w:autoSpaceDE/>
              <w:autoSpaceDN/>
              <w:bidi w:val="0"/>
              <w:adjustRightInd/>
              <w:snapToGrid/>
              <w:spacing w:line="0" w:lineRule="atLeast"/>
              <w:jc w:val="left"/>
              <w:textAlignment w:val="baseline"/>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按次收费。以完成骨灰盒包裹标准流程计费。</w:t>
            </w:r>
          </w:p>
        </w:tc>
        <w:tc>
          <w:tcPr>
            <w:tcW w:w="876" w:type="dxa"/>
            <w:tcBorders>
              <w:tl2br w:val="nil"/>
              <w:tr2bl w:val="nil"/>
            </w:tcBorders>
            <w:noWrap w:val="0"/>
            <w:vAlign w:val="center"/>
          </w:tcPr>
          <w:p w14:paraId="4A569A36">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sz w:val="21"/>
                <w:szCs w:val="21"/>
                <w:highlight w:val="none"/>
                <w:vertAlign w:val="baseline"/>
                <w:lang w:val="en-US" w:eastAsia="zh-CN"/>
              </w:rPr>
            </w:pPr>
            <w:r>
              <w:rPr>
                <w:rFonts w:hint="default" w:ascii="仿宋_GB2312" w:hAnsi="仿宋_GB2312" w:eastAsia="仿宋_GB2312" w:cs="仿宋_GB2312"/>
                <w:sz w:val="21"/>
                <w:szCs w:val="21"/>
                <w:highlight w:val="none"/>
                <w:vertAlign w:val="baseline"/>
                <w:lang w:val="en-US" w:eastAsia="zh-CN"/>
              </w:rPr>
              <w:t>元/次</w:t>
            </w:r>
          </w:p>
        </w:tc>
        <w:tc>
          <w:tcPr>
            <w:tcW w:w="1393" w:type="dxa"/>
            <w:tcBorders>
              <w:tl2br w:val="nil"/>
              <w:tr2bl w:val="nil"/>
            </w:tcBorders>
            <w:noWrap w:val="0"/>
            <w:vAlign w:val="center"/>
          </w:tcPr>
          <w:p w14:paraId="71CD4D3D">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kern w:val="2"/>
                <w:sz w:val="21"/>
                <w:szCs w:val="21"/>
                <w:highlight w:val="none"/>
                <w:vertAlign w:val="baseline"/>
                <w:lang w:val="en-US" w:eastAsia="zh-CN" w:bidi="ar-SA"/>
              </w:rPr>
            </w:pPr>
            <w:r>
              <w:rPr>
                <w:rFonts w:hint="eastAsia" w:ascii="仿宋_GB2312" w:hAnsi="仿宋_GB2312" w:eastAsia="仿宋_GB2312" w:cs="仿宋_GB2312"/>
                <w:sz w:val="21"/>
                <w:szCs w:val="21"/>
                <w:highlight w:val="none"/>
                <w:vertAlign w:val="baseline"/>
                <w:lang w:val="en-US" w:eastAsia="zh-CN"/>
              </w:rPr>
              <w:t>市场调节价</w:t>
            </w:r>
          </w:p>
        </w:tc>
      </w:tr>
      <w:tr w14:paraId="38B545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549" w:type="dxa"/>
            <w:tcBorders>
              <w:tl2br w:val="nil"/>
              <w:tr2bl w:val="nil"/>
            </w:tcBorders>
            <w:noWrap w:val="0"/>
            <w:vAlign w:val="center"/>
          </w:tcPr>
          <w:p w14:paraId="6BADDEDB">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6</w:t>
            </w:r>
          </w:p>
        </w:tc>
        <w:tc>
          <w:tcPr>
            <w:tcW w:w="1327" w:type="dxa"/>
            <w:tcBorders>
              <w:tl2br w:val="nil"/>
              <w:tr2bl w:val="nil"/>
            </w:tcBorders>
            <w:noWrap w:val="0"/>
            <w:vAlign w:val="center"/>
          </w:tcPr>
          <w:p w14:paraId="1E9FAE4C">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b w:val="0"/>
                <w:bCs w:val="0"/>
                <w:sz w:val="21"/>
                <w:szCs w:val="21"/>
                <w:highlight w:val="none"/>
                <w:u w:val="none"/>
                <w:vertAlign w:val="baseline"/>
                <w:lang w:val="en-US" w:eastAsia="zh-CN"/>
              </w:rPr>
            </w:pPr>
            <w:r>
              <w:rPr>
                <w:rFonts w:hint="eastAsia" w:ascii="仿宋_GB2312" w:hAnsi="仿宋_GB2312" w:eastAsia="仿宋_GB2312" w:cs="仿宋_GB2312"/>
                <w:b w:val="0"/>
                <w:bCs w:val="0"/>
                <w:sz w:val="21"/>
                <w:szCs w:val="21"/>
                <w:highlight w:val="none"/>
                <w:u w:val="none"/>
                <w:vertAlign w:val="baseline"/>
                <w:lang w:val="en-US" w:eastAsia="zh-CN"/>
              </w:rPr>
              <w:t>处置</w:t>
            </w:r>
          </w:p>
          <w:p w14:paraId="4F1F3BDA">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b w:val="0"/>
                <w:bCs w:val="0"/>
                <w:sz w:val="21"/>
                <w:szCs w:val="21"/>
                <w:highlight w:val="none"/>
                <w:u w:val="none"/>
                <w:vertAlign w:val="baseline"/>
                <w:lang w:val="en-US" w:eastAsia="zh-CN"/>
              </w:rPr>
            </w:pPr>
            <w:r>
              <w:rPr>
                <w:rFonts w:hint="eastAsia" w:ascii="仿宋_GB2312" w:hAnsi="仿宋_GB2312" w:eastAsia="仿宋_GB2312" w:cs="仿宋_GB2312"/>
                <w:b w:val="0"/>
                <w:bCs w:val="0"/>
                <w:sz w:val="21"/>
                <w:szCs w:val="21"/>
                <w:highlight w:val="none"/>
                <w:u w:val="none"/>
                <w:vertAlign w:val="baseline"/>
                <w:lang w:val="en-US" w:eastAsia="zh-CN"/>
              </w:rPr>
              <w:t>（解剖）室</w:t>
            </w:r>
          </w:p>
          <w:p w14:paraId="63F2610A">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b w:val="0"/>
                <w:bCs w:val="0"/>
                <w:sz w:val="21"/>
                <w:szCs w:val="21"/>
                <w:highlight w:val="none"/>
                <w:u w:val="none"/>
                <w:vertAlign w:val="baseline"/>
                <w:lang w:val="en-US" w:eastAsia="zh-CN"/>
              </w:rPr>
            </w:pPr>
            <w:r>
              <w:rPr>
                <w:rFonts w:hint="eastAsia" w:ascii="仿宋_GB2312" w:hAnsi="仿宋_GB2312" w:eastAsia="仿宋_GB2312" w:cs="仿宋_GB2312"/>
                <w:b w:val="0"/>
                <w:bCs w:val="0"/>
                <w:sz w:val="21"/>
                <w:szCs w:val="21"/>
                <w:highlight w:val="none"/>
                <w:u w:val="none"/>
                <w:vertAlign w:val="baseline"/>
                <w:lang w:val="en-US" w:eastAsia="zh-CN"/>
              </w:rPr>
              <w:t>租赁服务</w:t>
            </w:r>
          </w:p>
        </w:tc>
        <w:tc>
          <w:tcPr>
            <w:tcW w:w="8827" w:type="dxa"/>
            <w:tcBorders>
              <w:tl2br w:val="nil"/>
              <w:tr2bl w:val="nil"/>
            </w:tcBorders>
            <w:noWrap w:val="0"/>
            <w:vAlign w:val="center"/>
          </w:tcPr>
          <w:p w14:paraId="05E36740">
            <w:pPr>
              <w:pStyle w:val="8"/>
              <w:keepNext w:val="0"/>
              <w:keepLines w:val="0"/>
              <w:pageBreakBefore w:val="0"/>
              <w:widowControl w:val="0"/>
              <w:kinsoku/>
              <w:wordWrap/>
              <w:overflowPunct/>
              <w:topLinePunct w:val="0"/>
              <w:autoSpaceDE/>
              <w:autoSpaceDN/>
              <w:bidi w:val="0"/>
              <w:adjustRightInd/>
              <w:snapToGrid/>
              <w:spacing w:line="0" w:lineRule="atLeast"/>
              <w:ind w:firstLine="420" w:firstLineChars="200"/>
              <w:jc w:val="left"/>
              <w:textAlignment w:val="baseline"/>
              <w:rPr>
                <w:rFonts w:hint="eastAsia" w:ascii="仿宋_GB2312" w:hAnsi="仿宋_GB2312" w:eastAsia="仿宋_GB2312" w:cs="仿宋_GB2312"/>
                <w:b w:val="0"/>
                <w:bCs w:val="0"/>
                <w:strike w:val="0"/>
                <w:sz w:val="21"/>
                <w:szCs w:val="21"/>
                <w:highlight w:val="none"/>
                <w:u w:val="none"/>
                <w:vertAlign w:val="baseline"/>
                <w:lang w:val="en-US" w:eastAsia="zh-CN"/>
              </w:rPr>
            </w:pPr>
            <w:r>
              <w:rPr>
                <w:rFonts w:hint="eastAsia" w:ascii="仿宋_GB2312" w:hAnsi="仿宋_GB2312" w:eastAsia="仿宋_GB2312" w:cs="仿宋_GB2312"/>
                <w:b w:val="0"/>
                <w:bCs w:val="0"/>
                <w:sz w:val="21"/>
                <w:szCs w:val="21"/>
                <w:highlight w:val="none"/>
                <w:u w:val="none"/>
                <w:vertAlign w:val="baseline"/>
                <w:lang w:val="en-US" w:eastAsia="zh-CN"/>
              </w:rPr>
              <w:t>为公安机关或丧属提供检验遗体的场地、设施租赁服务，包括但不限于场地及检验遗体所需要的功能台、卫生消毒、照明、通风、解剖器材等基础服务。</w:t>
            </w:r>
          </w:p>
          <w:p w14:paraId="40B60CAC">
            <w:pPr>
              <w:pStyle w:val="8"/>
              <w:keepNext w:val="0"/>
              <w:keepLines w:val="0"/>
              <w:pageBreakBefore w:val="0"/>
              <w:widowControl w:val="0"/>
              <w:kinsoku/>
              <w:wordWrap/>
              <w:overflowPunct/>
              <w:topLinePunct w:val="0"/>
              <w:autoSpaceDE/>
              <w:autoSpaceDN/>
              <w:bidi w:val="0"/>
              <w:adjustRightInd/>
              <w:snapToGrid/>
              <w:spacing w:line="0" w:lineRule="atLeast"/>
              <w:ind w:firstLine="420" w:firstLineChars="200"/>
              <w:jc w:val="left"/>
              <w:textAlignment w:val="baseline"/>
              <w:rPr>
                <w:rFonts w:hint="default" w:ascii="仿宋_GB2312" w:hAnsi="仿宋_GB2312" w:eastAsia="仿宋_GB2312" w:cs="仿宋_GB2312"/>
                <w:b w:val="0"/>
                <w:bCs w:val="0"/>
                <w:sz w:val="21"/>
                <w:szCs w:val="21"/>
                <w:highlight w:val="none"/>
                <w:u w:val="none"/>
                <w:vertAlign w:val="baseline"/>
                <w:lang w:val="en-US" w:eastAsia="zh-CN"/>
              </w:rPr>
            </w:pPr>
            <w:r>
              <w:rPr>
                <w:rFonts w:hint="eastAsia" w:ascii="仿宋_GB2312" w:hAnsi="仿宋_GB2312" w:eastAsia="仿宋_GB2312" w:cs="仿宋_GB2312"/>
                <w:b w:val="0"/>
                <w:bCs w:val="0"/>
                <w:sz w:val="21"/>
                <w:szCs w:val="21"/>
                <w:highlight w:val="none"/>
                <w:u w:val="none"/>
                <w:vertAlign w:val="baseline"/>
                <w:lang w:val="en-US" w:eastAsia="zh-CN"/>
              </w:rPr>
              <w:t>按次收费。以完成遗体检验、遗体推出处置室计费。</w:t>
            </w:r>
          </w:p>
        </w:tc>
        <w:tc>
          <w:tcPr>
            <w:tcW w:w="876" w:type="dxa"/>
            <w:tcBorders>
              <w:tl2br w:val="nil"/>
              <w:tr2bl w:val="nil"/>
            </w:tcBorders>
            <w:noWrap w:val="0"/>
            <w:vAlign w:val="center"/>
          </w:tcPr>
          <w:p w14:paraId="4234C52F">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sz w:val="21"/>
                <w:szCs w:val="21"/>
                <w:highlight w:val="none"/>
                <w:vertAlign w:val="baseline"/>
                <w:lang w:val="en-US" w:eastAsia="zh-CN"/>
              </w:rPr>
            </w:pPr>
            <w:r>
              <w:rPr>
                <w:rFonts w:hint="default" w:ascii="仿宋_GB2312" w:hAnsi="仿宋_GB2312" w:eastAsia="仿宋_GB2312" w:cs="仿宋_GB2312"/>
                <w:sz w:val="21"/>
                <w:szCs w:val="21"/>
                <w:highlight w:val="none"/>
                <w:vertAlign w:val="baseline"/>
                <w:lang w:val="en-US" w:eastAsia="zh-CN"/>
              </w:rPr>
              <w:t>元/次</w:t>
            </w:r>
          </w:p>
        </w:tc>
        <w:tc>
          <w:tcPr>
            <w:tcW w:w="1393" w:type="dxa"/>
            <w:tcBorders>
              <w:tl2br w:val="nil"/>
              <w:tr2bl w:val="nil"/>
            </w:tcBorders>
            <w:noWrap w:val="0"/>
            <w:vAlign w:val="center"/>
          </w:tcPr>
          <w:p w14:paraId="49EC5E36">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kern w:val="2"/>
                <w:sz w:val="21"/>
                <w:szCs w:val="21"/>
                <w:highlight w:val="none"/>
                <w:vertAlign w:val="baseline"/>
                <w:lang w:val="en-US" w:eastAsia="zh-CN" w:bidi="ar-SA"/>
              </w:rPr>
            </w:pPr>
            <w:r>
              <w:rPr>
                <w:rFonts w:hint="eastAsia" w:ascii="仿宋_GB2312" w:hAnsi="仿宋_GB2312" w:eastAsia="仿宋_GB2312" w:cs="仿宋_GB2312"/>
                <w:sz w:val="21"/>
                <w:szCs w:val="21"/>
                <w:highlight w:val="none"/>
                <w:vertAlign w:val="baseline"/>
                <w:lang w:val="en-US" w:eastAsia="zh-CN"/>
              </w:rPr>
              <w:t>市场调节价</w:t>
            </w:r>
          </w:p>
        </w:tc>
      </w:tr>
      <w:tr w14:paraId="6BB847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549" w:type="dxa"/>
            <w:tcBorders>
              <w:tl2br w:val="nil"/>
              <w:tr2bl w:val="nil"/>
            </w:tcBorders>
            <w:noWrap w:val="0"/>
            <w:vAlign w:val="center"/>
          </w:tcPr>
          <w:p w14:paraId="6D8576AF">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7</w:t>
            </w:r>
          </w:p>
        </w:tc>
        <w:tc>
          <w:tcPr>
            <w:tcW w:w="1327" w:type="dxa"/>
            <w:tcBorders>
              <w:tl2br w:val="nil"/>
              <w:tr2bl w:val="nil"/>
            </w:tcBorders>
            <w:noWrap w:val="0"/>
            <w:vAlign w:val="center"/>
          </w:tcPr>
          <w:p w14:paraId="72E4B3E5">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逝者遗物</w:t>
            </w:r>
          </w:p>
          <w:p w14:paraId="4AF60EA9">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寄存服务</w:t>
            </w:r>
          </w:p>
        </w:tc>
        <w:tc>
          <w:tcPr>
            <w:tcW w:w="8827" w:type="dxa"/>
            <w:tcBorders>
              <w:tl2br w:val="nil"/>
              <w:tr2bl w:val="nil"/>
            </w:tcBorders>
            <w:noWrap w:val="0"/>
            <w:vAlign w:val="center"/>
          </w:tcPr>
          <w:p w14:paraId="47AC9681">
            <w:pPr>
              <w:pStyle w:val="8"/>
              <w:keepNext w:val="0"/>
              <w:keepLines w:val="0"/>
              <w:pageBreakBefore w:val="0"/>
              <w:widowControl w:val="0"/>
              <w:kinsoku/>
              <w:wordWrap/>
              <w:overflowPunct/>
              <w:topLinePunct w:val="0"/>
              <w:autoSpaceDE/>
              <w:autoSpaceDN/>
              <w:bidi w:val="0"/>
              <w:adjustRightInd/>
              <w:snapToGrid/>
              <w:spacing w:line="0" w:lineRule="atLeast"/>
              <w:ind w:firstLine="420" w:firstLineChars="200"/>
              <w:jc w:val="left"/>
              <w:textAlignment w:val="baseline"/>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为公安机关或丧属提供逝者遗物寄存服务，包括但不限于场地及锁具、消毒、安防等基础服务。</w:t>
            </w:r>
          </w:p>
          <w:p w14:paraId="29A63EA6">
            <w:pPr>
              <w:pStyle w:val="8"/>
              <w:keepNext w:val="0"/>
              <w:keepLines w:val="0"/>
              <w:pageBreakBefore w:val="0"/>
              <w:widowControl w:val="0"/>
              <w:kinsoku/>
              <w:wordWrap/>
              <w:overflowPunct/>
              <w:topLinePunct w:val="0"/>
              <w:autoSpaceDE/>
              <w:autoSpaceDN/>
              <w:bidi w:val="0"/>
              <w:adjustRightInd/>
              <w:snapToGrid/>
              <w:spacing w:line="0" w:lineRule="atLeast"/>
              <w:ind w:firstLine="420" w:firstLineChars="200"/>
              <w:jc w:val="left"/>
              <w:textAlignment w:val="baseline"/>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按次收费。以逝者遗物全部取出计费。</w:t>
            </w:r>
          </w:p>
        </w:tc>
        <w:tc>
          <w:tcPr>
            <w:tcW w:w="876" w:type="dxa"/>
            <w:tcBorders>
              <w:tl2br w:val="nil"/>
              <w:tr2bl w:val="nil"/>
            </w:tcBorders>
            <w:noWrap w:val="0"/>
            <w:vAlign w:val="center"/>
          </w:tcPr>
          <w:p w14:paraId="38D1466F">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sz w:val="21"/>
                <w:szCs w:val="21"/>
                <w:highlight w:val="none"/>
                <w:vertAlign w:val="baseline"/>
                <w:lang w:val="en-US" w:eastAsia="zh-CN"/>
              </w:rPr>
            </w:pPr>
            <w:r>
              <w:rPr>
                <w:rFonts w:hint="default" w:ascii="仿宋_GB2312" w:hAnsi="仿宋_GB2312" w:eastAsia="仿宋_GB2312" w:cs="仿宋_GB2312"/>
                <w:sz w:val="21"/>
                <w:szCs w:val="21"/>
                <w:highlight w:val="none"/>
                <w:vertAlign w:val="baseline"/>
                <w:lang w:val="en-US" w:eastAsia="zh-CN"/>
              </w:rPr>
              <w:t>元/次</w:t>
            </w:r>
          </w:p>
        </w:tc>
        <w:tc>
          <w:tcPr>
            <w:tcW w:w="1393" w:type="dxa"/>
            <w:tcBorders>
              <w:tl2br w:val="nil"/>
              <w:tr2bl w:val="nil"/>
            </w:tcBorders>
            <w:noWrap w:val="0"/>
            <w:vAlign w:val="center"/>
          </w:tcPr>
          <w:p w14:paraId="06DF7EEB">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kern w:val="2"/>
                <w:sz w:val="21"/>
                <w:szCs w:val="21"/>
                <w:highlight w:val="none"/>
                <w:vertAlign w:val="baseline"/>
                <w:lang w:val="en-US" w:eastAsia="zh-CN" w:bidi="ar-SA"/>
              </w:rPr>
            </w:pPr>
            <w:r>
              <w:rPr>
                <w:rFonts w:hint="eastAsia" w:ascii="仿宋_GB2312" w:hAnsi="仿宋_GB2312" w:eastAsia="仿宋_GB2312" w:cs="仿宋_GB2312"/>
                <w:sz w:val="21"/>
                <w:szCs w:val="21"/>
                <w:highlight w:val="none"/>
                <w:vertAlign w:val="baseline"/>
                <w:lang w:val="en-US" w:eastAsia="zh-CN"/>
              </w:rPr>
              <w:t>市场调节价</w:t>
            </w:r>
          </w:p>
        </w:tc>
      </w:tr>
      <w:tr w14:paraId="0C25C3C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549" w:type="dxa"/>
            <w:tcBorders>
              <w:tl2br w:val="nil"/>
              <w:tr2bl w:val="nil"/>
            </w:tcBorders>
            <w:noWrap w:val="0"/>
            <w:vAlign w:val="center"/>
          </w:tcPr>
          <w:p w14:paraId="42096F5E">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8</w:t>
            </w:r>
          </w:p>
        </w:tc>
        <w:tc>
          <w:tcPr>
            <w:tcW w:w="1327" w:type="dxa"/>
            <w:tcBorders>
              <w:tl2br w:val="nil"/>
              <w:tr2bl w:val="nil"/>
            </w:tcBorders>
            <w:noWrap w:val="0"/>
            <w:vAlign w:val="center"/>
          </w:tcPr>
          <w:p w14:paraId="4318DD27">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穿衣服务</w:t>
            </w:r>
          </w:p>
        </w:tc>
        <w:tc>
          <w:tcPr>
            <w:tcW w:w="8827" w:type="dxa"/>
            <w:tcBorders>
              <w:tl2br w:val="nil"/>
              <w:tr2bl w:val="nil"/>
            </w:tcBorders>
            <w:noWrap w:val="0"/>
            <w:vAlign w:val="center"/>
          </w:tcPr>
          <w:p w14:paraId="19CA9D9C">
            <w:pPr>
              <w:pStyle w:val="8"/>
              <w:keepNext w:val="0"/>
              <w:keepLines w:val="0"/>
              <w:pageBreakBefore w:val="0"/>
              <w:widowControl w:val="0"/>
              <w:kinsoku/>
              <w:wordWrap/>
              <w:overflowPunct/>
              <w:topLinePunct w:val="0"/>
              <w:autoSpaceDE/>
              <w:autoSpaceDN/>
              <w:bidi w:val="0"/>
              <w:adjustRightInd/>
              <w:snapToGrid/>
              <w:spacing w:line="0" w:lineRule="atLeast"/>
              <w:ind w:firstLine="420" w:firstLineChars="200"/>
              <w:jc w:val="left"/>
              <w:textAlignment w:val="baseline"/>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按丧属意愿，为遗体提供穿衣服务。包括但限于为遗体脱去原有衣服、为遗体穿上丧属准备的衣服以及提供一般的遗体清洁等基础服务，不含遗体整容服务。若存在大量污秽物、血渍等，则需一次性加收相应费用。此服务仅限于正常死亡尚未腐烂变形遗体。</w:t>
            </w:r>
          </w:p>
          <w:p w14:paraId="0A66DA0C">
            <w:pPr>
              <w:pStyle w:val="8"/>
              <w:keepNext w:val="0"/>
              <w:keepLines w:val="0"/>
              <w:pageBreakBefore w:val="0"/>
              <w:widowControl w:val="0"/>
              <w:kinsoku/>
              <w:wordWrap/>
              <w:overflowPunct/>
              <w:topLinePunct w:val="0"/>
              <w:autoSpaceDE/>
              <w:autoSpaceDN/>
              <w:bidi w:val="0"/>
              <w:adjustRightInd/>
              <w:snapToGrid/>
              <w:spacing w:line="0" w:lineRule="atLeast"/>
              <w:ind w:firstLine="420" w:firstLineChars="200"/>
              <w:jc w:val="left"/>
              <w:textAlignment w:val="baseline"/>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按服务单具遗体收费。以完成遗体穿衣标准流程计费。</w:t>
            </w:r>
          </w:p>
        </w:tc>
        <w:tc>
          <w:tcPr>
            <w:tcW w:w="876" w:type="dxa"/>
            <w:tcBorders>
              <w:tl2br w:val="nil"/>
              <w:tr2bl w:val="nil"/>
            </w:tcBorders>
            <w:noWrap w:val="0"/>
            <w:vAlign w:val="center"/>
          </w:tcPr>
          <w:p w14:paraId="14770BA9">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sz w:val="21"/>
                <w:szCs w:val="21"/>
                <w:highlight w:val="none"/>
                <w:vertAlign w:val="baseline"/>
                <w:lang w:val="en-US" w:eastAsia="zh-CN"/>
              </w:rPr>
            </w:pPr>
            <w:r>
              <w:rPr>
                <w:rFonts w:hint="default" w:ascii="仿宋_GB2312" w:hAnsi="仿宋_GB2312" w:eastAsia="仿宋_GB2312" w:cs="仿宋_GB2312"/>
                <w:sz w:val="21"/>
                <w:szCs w:val="21"/>
                <w:highlight w:val="none"/>
                <w:vertAlign w:val="baseline"/>
                <w:lang w:val="en-US" w:eastAsia="zh-CN"/>
              </w:rPr>
              <w:t>元/</w:t>
            </w:r>
            <w:r>
              <w:rPr>
                <w:rFonts w:hint="eastAsia" w:ascii="仿宋_GB2312" w:hAnsi="仿宋_GB2312" w:eastAsia="仿宋_GB2312" w:cs="仿宋_GB2312"/>
                <w:sz w:val="21"/>
                <w:szCs w:val="21"/>
                <w:highlight w:val="none"/>
                <w:vertAlign w:val="baseline"/>
                <w:lang w:val="en-US" w:eastAsia="zh-CN"/>
              </w:rPr>
              <w:t>具</w:t>
            </w:r>
          </w:p>
        </w:tc>
        <w:tc>
          <w:tcPr>
            <w:tcW w:w="1393" w:type="dxa"/>
            <w:tcBorders>
              <w:tl2br w:val="nil"/>
              <w:tr2bl w:val="nil"/>
            </w:tcBorders>
            <w:noWrap w:val="0"/>
            <w:vAlign w:val="center"/>
          </w:tcPr>
          <w:p w14:paraId="358F8194">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市场调节价</w:t>
            </w:r>
          </w:p>
        </w:tc>
      </w:tr>
    </w:tbl>
    <w:p w14:paraId="72450246">
      <w:pPr>
        <w:pStyle w:val="8"/>
        <w:keepNext w:val="0"/>
        <w:keepLines w:val="0"/>
        <w:pageBreakBefore w:val="0"/>
        <w:widowControl w:val="0"/>
        <w:kinsoku/>
        <w:wordWrap/>
        <w:overflowPunct/>
        <w:topLinePunct w:val="0"/>
        <w:autoSpaceDE/>
        <w:autoSpaceDN/>
        <w:bidi w:val="0"/>
        <w:adjustRightInd/>
        <w:snapToGrid/>
        <w:spacing w:line="0" w:lineRule="atLeast"/>
        <w:ind w:left="0" w:leftChars="0" w:firstLine="0" w:firstLineChars="0"/>
        <w:jc w:val="left"/>
        <w:textAlignment w:val="baseline"/>
        <w:rPr>
          <w:rFonts w:hint="eastAsia" w:ascii="黑体" w:hAnsi="黑体" w:eastAsia="黑体" w:cs="黑体"/>
          <w:b w:val="0"/>
          <w:bCs w:val="0"/>
          <w:sz w:val="20"/>
          <w:szCs w:val="20"/>
          <w:highlight w:val="none"/>
          <w:lang w:val="en-US" w:eastAsia="zh-CN"/>
        </w:rPr>
      </w:pPr>
    </w:p>
    <w:tbl>
      <w:tblPr>
        <w:tblStyle w:val="5"/>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60"/>
        <w:gridCol w:w="1339"/>
        <w:gridCol w:w="8804"/>
        <w:gridCol w:w="876"/>
        <w:gridCol w:w="1393"/>
      </w:tblGrid>
      <w:tr w14:paraId="16B520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560" w:type="dxa"/>
            <w:tcBorders>
              <w:tl2br w:val="nil"/>
              <w:tr2bl w:val="nil"/>
            </w:tcBorders>
            <w:noWrap w:val="0"/>
            <w:vAlign w:val="center"/>
          </w:tcPr>
          <w:p w14:paraId="48719550">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黑体" w:hAnsi="黑体" w:eastAsia="黑体" w:cs="黑体"/>
                <w:sz w:val="21"/>
                <w:szCs w:val="21"/>
                <w:highlight w:val="none"/>
                <w:vertAlign w:val="baseline"/>
                <w:lang w:val="en-US" w:eastAsia="zh-CN"/>
              </w:rPr>
            </w:pPr>
            <w:r>
              <w:rPr>
                <w:rFonts w:hint="eastAsia" w:ascii="黑体" w:hAnsi="黑体" w:eastAsia="黑体" w:cs="黑体"/>
                <w:sz w:val="21"/>
                <w:szCs w:val="21"/>
                <w:highlight w:val="none"/>
                <w:lang w:val="en-US" w:eastAsia="zh-CN"/>
              </w:rPr>
              <w:t>序号</w:t>
            </w:r>
            <w:r>
              <w:rPr>
                <w:rFonts w:hint="eastAsia" w:ascii="黑体" w:hAnsi="黑体" w:eastAsia="黑体" w:cs="黑体"/>
                <w:sz w:val="21"/>
                <w:szCs w:val="21"/>
                <w:highlight w:val="none"/>
                <w:lang w:val="en-US" w:eastAsia="zh-CN"/>
              </w:rPr>
              <w:br w:type="page"/>
            </w:r>
          </w:p>
        </w:tc>
        <w:tc>
          <w:tcPr>
            <w:tcW w:w="1339" w:type="dxa"/>
            <w:tcBorders>
              <w:tl2br w:val="nil"/>
              <w:tr2bl w:val="nil"/>
            </w:tcBorders>
            <w:noWrap w:val="0"/>
            <w:vAlign w:val="center"/>
          </w:tcPr>
          <w:p w14:paraId="73E2C1AE">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黑体" w:hAnsi="黑体" w:eastAsia="黑体" w:cs="黑体"/>
                <w:sz w:val="21"/>
                <w:szCs w:val="21"/>
                <w:highlight w:val="none"/>
                <w:vertAlign w:val="baseline"/>
                <w:lang w:val="en-US" w:eastAsia="zh-CN"/>
              </w:rPr>
            </w:pPr>
            <w:r>
              <w:rPr>
                <w:rFonts w:hint="eastAsia" w:ascii="黑体" w:hAnsi="黑体" w:eastAsia="黑体" w:cs="黑体"/>
                <w:sz w:val="21"/>
                <w:szCs w:val="21"/>
                <w:highlight w:val="none"/>
                <w:vertAlign w:val="baseline"/>
                <w:lang w:val="en-US" w:eastAsia="zh-CN"/>
              </w:rPr>
              <w:t>服务项目</w:t>
            </w:r>
          </w:p>
        </w:tc>
        <w:tc>
          <w:tcPr>
            <w:tcW w:w="8804" w:type="dxa"/>
            <w:tcBorders>
              <w:tl2br w:val="nil"/>
              <w:tr2bl w:val="nil"/>
            </w:tcBorders>
            <w:noWrap w:val="0"/>
            <w:vAlign w:val="center"/>
          </w:tcPr>
          <w:p w14:paraId="02E35CB1">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黑体" w:hAnsi="黑体" w:eastAsia="黑体" w:cs="黑体"/>
                <w:sz w:val="21"/>
                <w:szCs w:val="21"/>
                <w:highlight w:val="none"/>
                <w:vertAlign w:val="baseline"/>
                <w:lang w:val="en-US" w:eastAsia="zh-CN"/>
              </w:rPr>
            </w:pPr>
            <w:r>
              <w:rPr>
                <w:rFonts w:hint="eastAsia" w:ascii="黑体" w:hAnsi="黑体" w:eastAsia="黑体" w:cs="黑体"/>
                <w:sz w:val="21"/>
                <w:szCs w:val="21"/>
                <w:highlight w:val="none"/>
                <w:vertAlign w:val="baseline"/>
                <w:lang w:val="en-US" w:eastAsia="zh-CN"/>
              </w:rPr>
              <w:t>服务内容及标准</w:t>
            </w:r>
          </w:p>
        </w:tc>
        <w:tc>
          <w:tcPr>
            <w:tcW w:w="876" w:type="dxa"/>
            <w:tcBorders>
              <w:tl2br w:val="nil"/>
              <w:tr2bl w:val="nil"/>
            </w:tcBorders>
            <w:noWrap w:val="0"/>
            <w:vAlign w:val="center"/>
          </w:tcPr>
          <w:p w14:paraId="03529BEB">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黑体" w:hAnsi="黑体" w:eastAsia="黑体" w:cs="黑体"/>
                <w:sz w:val="21"/>
                <w:szCs w:val="21"/>
                <w:highlight w:val="none"/>
                <w:vertAlign w:val="baseline"/>
                <w:lang w:val="en-US" w:eastAsia="zh-CN"/>
              </w:rPr>
            </w:pPr>
            <w:r>
              <w:rPr>
                <w:rFonts w:hint="eastAsia" w:ascii="黑体" w:hAnsi="黑体" w:eastAsia="黑体" w:cs="黑体"/>
                <w:sz w:val="21"/>
                <w:szCs w:val="21"/>
                <w:highlight w:val="none"/>
                <w:vertAlign w:val="baseline"/>
                <w:lang w:val="en-US" w:eastAsia="zh-CN"/>
              </w:rPr>
              <w:t>计价</w:t>
            </w:r>
          </w:p>
          <w:p w14:paraId="42056412">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黑体" w:hAnsi="黑体" w:eastAsia="黑体" w:cs="黑体"/>
                <w:sz w:val="21"/>
                <w:szCs w:val="21"/>
                <w:highlight w:val="none"/>
                <w:vertAlign w:val="baseline"/>
                <w:lang w:val="en-US" w:eastAsia="zh-CN"/>
              </w:rPr>
            </w:pPr>
            <w:r>
              <w:rPr>
                <w:rFonts w:hint="eastAsia" w:ascii="黑体" w:hAnsi="黑体" w:eastAsia="黑体" w:cs="黑体"/>
                <w:sz w:val="21"/>
                <w:szCs w:val="21"/>
                <w:highlight w:val="none"/>
                <w:vertAlign w:val="baseline"/>
                <w:lang w:val="en-US" w:eastAsia="zh-CN"/>
              </w:rPr>
              <w:t>方式</w:t>
            </w:r>
          </w:p>
        </w:tc>
        <w:tc>
          <w:tcPr>
            <w:tcW w:w="1393" w:type="dxa"/>
            <w:tcBorders>
              <w:tl2br w:val="nil"/>
              <w:tr2bl w:val="nil"/>
            </w:tcBorders>
            <w:noWrap w:val="0"/>
            <w:vAlign w:val="center"/>
          </w:tcPr>
          <w:p w14:paraId="59E82F50">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黑体" w:hAnsi="黑体" w:eastAsia="黑体" w:cs="黑体"/>
                <w:sz w:val="21"/>
                <w:szCs w:val="21"/>
                <w:highlight w:val="none"/>
                <w:vertAlign w:val="baseline"/>
                <w:lang w:val="en-US" w:eastAsia="zh-CN"/>
              </w:rPr>
            </w:pPr>
            <w:r>
              <w:rPr>
                <w:rFonts w:hint="eastAsia" w:ascii="黑体" w:hAnsi="黑体" w:eastAsia="黑体" w:cs="黑体"/>
                <w:sz w:val="21"/>
                <w:szCs w:val="21"/>
                <w:highlight w:val="none"/>
                <w:vertAlign w:val="baseline"/>
                <w:lang w:val="en-US" w:eastAsia="zh-CN"/>
              </w:rPr>
              <w:t>收费管理</w:t>
            </w:r>
          </w:p>
          <w:p w14:paraId="623C158E">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黑体" w:hAnsi="黑体" w:eastAsia="黑体" w:cs="黑体"/>
                <w:sz w:val="21"/>
                <w:szCs w:val="21"/>
                <w:highlight w:val="none"/>
                <w:vertAlign w:val="baseline"/>
                <w:lang w:val="en-US" w:eastAsia="zh-CN"/>
              </w:rPr>
            </w:pPr>
            <w:r>
              <w:rPr>
                <w:rFonts w:hint="eastAsia" w:ascii="黑体" w:hAnsi="黑体" w:eastAsia="黑体" w:cs="黑体"/>
                <w:sz w:val="21"/>
                <w:szCs w:val="21"/>
                <w:highlight w:val="none"/>
                <w:vertAlign w:val="baseline"/>
                <w:lang w:val="en-US" w:eastAsia="zh-CN"/>
              </w:rPr>
              <w:t>方式</w:t>
            </w:r>
          </w:p>
        </w:tc>
      </w:tr>
      <w:tr w14:paraId="7B24CA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560" w:type="dxa"/>
            <w:tcBorders>
              <w:tl2br w:val="nil"/>
              <w:tr2bl w:val="nil"/>
            </w:tcBorders>
            <w:noWrap w:val="0"/>
            <w:vAlign w:val="center"/>
          </w:tcPr>
          <w:p w14:paraId="36BA5422">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9</w:t>
            </w:r>
          </w:p>
        </w:tc>
        <w:tc>
          <w:tcPr>
            <w:tcW w:w="1339" w:type="dxa"/>
            <w:tcBorders>
              <w:tl2br w:val="nil"/>
              <w:tr2bl w:val="nil"/>
            </w:tcBorders>
            <w:noWrap w:val="0"/>
            <w:vAlign w:val="center"/>
          </w:tcPr>
          <w:p w14:paraId="23715A46">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殡仪仪式</w:t>
            </w:r>
          </w:p>
          <w:p w14:paraId="2CC6407C">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服务</w:t>
            </w:r>
          </w:p>
          <w:p w14:paraId="635DC878">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（主持人）</w:t>
            </w:r>
          </w:p>
        </w:tc>
        <w:tc>
          <w:tcPr>
            <w:tcW w:w="8804" w:type="dxa"/>
            <w:tcBorders>
              <w:tl2br w:val="nil"/>
              <w:tr2bl w:val="nil"/>
            </w:tcBorders>
            <w:noWrap w:val="0"/>
            <w:vAlign w:val="center"/>
          </w:tcPr>
          <w:p w14:paraId="3BA4BCAA">
            <w:pPr>
              <w:pStyle w:val="8"/>
              <w:keepNext w:val="0"/>
              <w:keepLines w:val="0"/>
              <w:pageBreakBefore w:val="0"/>
              <w:widowControl w:val="0"/>
              <w:kinsoku/>
              <w:wordWrap/>
              <w:overflowPunct/>
              <w:topLinePunct w:val="0"/>
              <w:autoSpaceDE/>
              <w:autoSpaceDN/>
              <w:bidi w:val="0"/>
              <w:adjustRightInd/>
              <w:snapToGrid/>
              <w:spacing w:line="0" w:lineRule="atLeast"/>
              <w:ind w:firstLine="420" w:firstLineChars="200"/>
              <w:jc w:val="left"/>
              <w:textAlignment w:val="baseline"/>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为丧属提供殡仪仪式主持服务，包括但不限于仪式场地布置指引、仪式流程指引、缴费指引及其他业务办理指引等基础服务，不代缴费用，不代采购祭祀用品，不代办业务。</w:t>
            </w:r>
          </w:p>
          <w:p w14:paraId="169D5743">
            <w:pPr>
              <w:pStyle w:val="8"/>
              <w:keepNext w:val="0"/>
              <w:keepLines w:val="0"/>
              <w:pageBreakBefore w:val="0"/>
              <w:widowControl w:val="0"/>
              <w:kinsoku/>
              <w:wordWrap/>
              <w:overflowPunct/>
              <w:topLinePunct w:val="0"/>
              <w:autoSpaceDE/>
              <w:autoSpaceDN/>
              <w:bidi w:val="0"/>
              <w:adjustRightInd/>
              <w:snapToGrid/>
              <w:spacing w:line="0" w:lineRule="atLeast"/>
              <w:ind w:firstLine="420" w:firstLineChars="200"/>
              <w:jc w:val="left"/>
              <w:textAlignment w:val="baseline"/>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按次收费。以协助丧属完成殡仪馆内治丧事务办理计费。</w:t>
            </w:r>
          </w:p>
        </w:tc>
        <w:tc>
          <w:tcPr>
            <w:tcW w:w="876" w:type="dxa"/>
            <w:tcBorders>
              <w:tl2br w:val="nil"/>
              <w:tr2bl w:val="nil"/>
            </w:tcBorders>
            <w:noWrap w:val="0"/>
            <w:vAlign w:val="center"/>
          </w:tcPr>
          <w:p w14:paraId="65F9A62B">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sz w:val="21"/>
                <w:szCs w:val="21"/>
                <w:highlight w:val="none"/>
                <w:vertAlign w:val="baseline"/>
                <w:lang w:val="en-US" w:eastAsia="zh-CN"/>
              </w:rPr>
            </w:pPr>
            <w:r>
              <w:rPr>
                <w:rFonts w:hint="default" w:ascii="仿宋_GB2312" w:hAnsi="仿宋_GB2312" w:eastAsia="仿宋_GB2312" w:cs="仿宋_GB2312"/>
                <w:sz w:val="21"/>
                <w:szCs w:val="21"/>
                <w:highlight w:val="none"/>
                <w:vertAlign w:val="baseline"/>
                <w:lang w:val="en-US" w:eastAsia="zh-CN"/>
              </w:rPr>
              <w:t>元/次</w:t>
            </w:r>
          </w:p>
        </w:tc>
        <w:tc>
          <w:tcPr>
            <w:tcW w:w="1393" w:type="dxa"/>
            <w:tcBorders>
              <w:tl2br w:val="nil"/>
              <w:tr2bl w:val="nil"/>
            </w:tcBorders>
            <w:noWrap w:val="0"/>
            <w:vAlign w:val="center"/>
          </w:tcPr>
          <w:p w14:paraId="4F523DB5">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市场调节价</w:t>
            </w:r>
          </w:p>
        </w:tc>
      </w:tr>
      <w:tr w14:paraId="5FF149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560" w:type="dxa"/>
            <w:tcBorders>
              <w:tl2br w:val="nil"/>
              <w:tr2bl w:val="nil"/>
            </w:tcBorders>
            <w:noWrap w:val="0"/>
            <w:vAlign w:val="center"/>
          </w:tcPr>
          <w:p w14:paraId="16CAF53A">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b w:val="0"/>
                <w:bCs w:val="0"/>
                <w:kern w:val="2"/>
                <w:sz w:val="21"/>
                <w:szCs w:val="21"/>
                <w:highlight w:val="none"/>
                <w:vertAlign w:val="baseline"/>
                <w:lang w:val="en-US" w:eastAsia="zh-CN" w:bidi="ar-SA"/>
              </w:rPr>
            </w:pPr>
            <w:r>
              <w:rPr>
                <w:rFonts w:hint="eastAsia" w:ascii="仿宋_GB2312" w:hAnsi="仿宋_GB2312" w:eastAsia="仿宋_GB2312" w:cs="仿宋_GB2312"/>
                <w:b w:val="0"/>
                <w:bCs w:val="0"/>
                <w:sz w:val="21"/>
                <w:szCs w:val="21"/>
                <w:highlight w:val="none"/>
                <w:vertAlign w:val="baseline"/>
                <w:lang w:val="en-US" w:eastAsia="zh-CN"/>
              </w:rPr>
              <w:t>10</w:t>
            </w:r>
          </w:p>
        </w:tc>
        <w:tc>
          <w:tcPr>
            <w:tcW w:w="1339" w:type="dxa"/>
            <w:tcBorders>
              <w:tl2br w:val="nil"/>
              <w:tr2bl w:val="nil"/>
            </w:tcBorders>
            <w:noWrap w:val="0"/>
            <w:vAlign w:val="center"/>
          </w:tcPr>
          <w:p w14:paraId="48F7F0BD">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b w:val="0"/>
                <w:bCs w:val="0"/>
                <w:kern w:val="2"/>
                <w:sz w:val="21"/>
                <w:szCs w:val="21"/>
                <w:highlight w:val="none"/>
                <w:vertAlign w:val="baseline"/>
                <w:lang w:val="en-US" w:eastAsia="zh-CN" w:bidi="ar-SA"/>
              </w:rPr>
            </w:pPr>
            <w:r>
              <w:rPr>
                <w:rFonts w:hint="eastAsia" w:ascii="仿宋_GB2312" w:hAnsi="仿宋_GB2312" w:eastAsia="仿宋_GB2312" w:cs="仿宋_GB2312"/>
                <w:b w:val="0"/>
                <w:bCs w:val="0"/>
                <w:sz w:val="21"/>
                <w:szCs w:val="21"/>
                <w:highlight w:val="none"/>
                <w:vertAlign w:val="baseline"/>
                <w:lang w:val="en-US" w:eastAsia="zh-CN"/>
              </w:rPr>
              <w:t>净面服务</w:t>
            </w:r>
          </w:p>
        </w:tc>
        <w:tc>
          <w:tcPr>
            <w:tcW w:w="8804" w:type="dxa"/>
            <w:tcBorders>
              <w:tl2br w:val="nil"/>
              <w:tr2bl w:val="nil"/>
            </w:tcBorders>
            <w:noWrap w:val="0"/>
            <w:vAlign w:val="center"/>
          </w:tcPr>
          <w:p w14:paraId="0C3B29E7">
            <w:pPr>
              <w:pStyle w:val="8"/>
              <w:keepNext w:val="0"/>
              <w:keepLines w:val="0"/>
              <w:pageBreakBefore w:val="0"/>
              <w:widowControl w:val="0"/>
              <w:kinsoku/>
              <w:wordWrap/>
              <w:overflowPunct/>
              <w:topLinePunct w:val="0"/>
              <w:autoSpaceDE/>
              <w:autoSpaceDN/>
              <w:bidi w:val="0"/>
              <w:adjustRightInd/>
              <w:snapToGrid/>
              <w:spacing w:line="0" w:lineRule="atLeast"/>
              <w:ind w:firstLine="420" w:firstLineChars="200"/>
              <w:jc w:val="left"/>
              <w:textAlignment w:val="baseline"/>
              <w:rPr>
                <w:rFonts w:hint="eastAsia" w:ascii="仿宋_GB2312" w:hAnsi="仿宋_GB2312" w:eastAsia="仿宋_GB2312" w:cs="仿宋_GB2312"/>
                <w:b w:val="0"/>
                <w:bCs w:val="0"/>
                <w:sz w:val="21"/>
                <w:szCs w:val="21"/>
                <w:highlight w:val="none"/>
                <w:vertAlign w:val="baseline"/>
                <w:lang w:val="en-US" w:eastAsia="zh-CN"/>
              </w:rPr>
            </w:pPr>
            <w:r>
              <w:rPr>
                <w:rFonts w:hint="eastAsia" w:ascii="仿宋_GB2312" w:hAnsi="仿宋_GB2312" w:eastAsia="仿宋_GB2312" w:cs="仿宋_GB2312"/>
                <w:b w:val="0"/>
                <w:bCs w:val="0"/>
                <w:sz w:val="21"/>
                <w:szCs w:val="21"/>
                <w:highlight w:val="none"/>
                <w:vertAlign w:val="baseline"/>
                <w:lang w:val="en-US" w:eastAsia="zh-CN"/>
              </w:rPr>
              <w:t>为遗体面部提供清洁服务。包括但不限于为遗体清洁面部污迹（血渍、呕吐物等）、剃须等服务，仅针对面部有严重污秽物或浓密发须。不得涉及“遗体告别”“遗体整容”所包含的基础面部消毒、清洁、口眼闭合、发型服饰整理和化形、修复、化妆、美发等服务。</w:t>
            </w:r>
          </w:p>
          <w:p w14:paraId="619C1E5D">
            <w:pPr>
              <w:pStyle w:val="8"/>
              <w:keepNext w:val="0"/>
              <w:keepLines w:val="0"/>
              <w:pageBreakBefore w:val="0"/>
              <w:widowControl w:val="0"/>
              <w:kinsoku/>
              <w:wordWrap/>
              <w:overflowPunct/>
              <w:topLinePunct w:val="0"/>
              <w:autoSpaceDE/>
              <w:autoSpaceDN/>
              <w:bidi w:val="0"/>
              <w:adjustRightInd/>
              <w:snapToGrid/>
              <w:spacing w:line="0" w:lineRule="atLeast"/>
              <w:ind w:firstLine="420" w:firstLineChars="200"/>
              <w:jc w:val="left"/>
              <w:textAlignment w:val="baseline"/>
              <w:rPr>
                <w:rFonts w:hint="eastAsia" w:ascii="仿宋_GB2312" w:hAnsi="仿宋_GB2312" w:eastAsia="仿宋_GB2312" w:cs="仿宋_GB2312"/>
                <w:b w:val="0"/>
                <w:bCs w:val="0"/>
                <w:kern w:val="2"/>
                <w:sz w:val="21"/>
                <w:szCs w:val="21"/>
                <w:highlight w:val="none"/>
                <w:vertAlign w:val="baseline"/>
                <w:lang w:val="en-US" w:eastAsia="zh-CN" w:bidi="ar-SA"/>
              </w:rPr>
            </w:pPr>
            <w:r>
              <w:rPr>
                <w:rFonts w:hint="eastAsia" w:ascii="仿宋_GB2312" w:hAnsi="仿宋_GB2312" w:eastAsia="仿宋_GB2312" w:cs="仿宋_GB2312"/>
                <w:b w:val="0"/>
                <w:bCs w:val="0"/>
                <w:sz w:val="21"/>
                <w:szCs w:val="21"/>
                <w:highlight w:val="none"/>
                <w:vertAlign w:val="baseline"/>
                <w:lang w:val="en-US" w:eastAsia="zh-CN"/>
              </w:rPr>
              <w:t>按次收费。以完成面部清洁和剃须计费。</w:t>
            </w:r>
          </w:p>
        </w:tc>
        <w:tc>
          <w:tcPr>
            <w:tcW w:w="876" w:type="dxa"/>
            <w:tcBorders>
              <w:tl2br w:val="nil"/>
              <w:tr2bl w:val="nil"/>
            </w:tcBorders>
            <w:noWrap w:val="0"/>
            <w:vAlign w:val="center"/>
          </w:tcPr>
          <w:p w14:paraId="3DDB5CDB">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b w:val="0"/>
                <w:bCs w:val="0"/>
                <w:kern w:val="2"/>
                <w:sz w:val="21"/>
                <w:szCs w:val="21"/>
                <w:highlight w:val="none"/>
                <w:vertAlign w:val="baseline"/>
                <w:lang w:val="en-US" w:eastAsia="zh-CN" w:bidi="ar-SA"/>
              </w:rPr>
            </w:pPr>
            <w:r>
              <w:rPr>
                <w:rFonts w:hint="default" w:ascii="仿宋_GB2312" w:hAnsi="仿宋_GB2312" w:eastAsia="仿宋_GB2312" w:cs="仿宋_GB2312"/>
                <w:b w:val="0"/>
                <w:bCs w:val="0"/>
                <w:sz w:val="21"/>
                <w:szCs w:val="21"/>
                <w:highlight w:val="none"/>
                <w:vertAlign w:val="baseline"/>
                <w:lang w:val="en-US" w:eastAsia="zh-CN"/>
              </w:rPr>
              <w:t>元/次</w:t>
            </w:r>
          </w:p>
        </w:tc>
        <w:tc>
          <w:tcPr>
            <w:tcW w:w="1393" w:type="dxa"/>
            <w:tcBorders>
              <w:tl2br w:val="nil"/>
              <w:tr2bl w:val="nil"/>
            </w:tcBorders>
            <w:noWrap w:val="0"/>
            <w:vAlign w:val="center"/>
          </w:tcPr>
          <w:p w14:paraId="02E44D5D">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b w:val="0"/>
                <w:bCs w:val="0"/>
                <w:sz w:val="21"/>
                <w:szCs w:val="21"/>
                <w:highlight w:val="none"/>
                <w:vertAlign w:val="baseline"/>
                <w:lang w:val="en-US" w:eastAsia="zh-CN"/>
              </w:rPr>
            </w:pPr>
            <w:r>
              <w:rPr>
                <w:rFonts w:hint="eastAsia" w:ascii="仿宋_GB2312" w:hAnsi="仿宋_GB2312" w:eastAsia="仿宋_GB2312" w:cs="仿宋_GB2312"/>
                <w:b w:val="0"/>
                <w:bCs w:val="0"/>
                <w:sz w:val="21"/>
                <w:szCs w:val="21"/>
                <w:highlight w:val="none"/>
                <w:vertAlign w:val="baseline"/>
                <w:lang w:val="en-US" w:eastAsia="zh-CN"/>
              </w:rPr>
              <w:t>市场调节价</w:t>
            </w:r>
          </w:p>
        </w:tc>
      </w:tr>
      <w:tr w14:paraId="3C7D80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560" w:type="dxa"/>
            <w:tcBorders>
              <w:tl2br w:val="nil"/>
              <w:tr2bl w:val="nil"/>
            </w:tcBorders>
            <w:noWrap w:val="0"/>
            <w:vAlign w:val="center"/>
          </w:tcPr>
          <w:p w14:paraId="40C454E9">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kern w:val="2"/>
                <w:sz w:val="21"/>
                <w:szCs w:val="21"/>
                <w:highlight w:val="none"/>
                <w:vertAlign w:val="baseline"/>
                <w:lang w:val="en-US" w:eastAsia="zh-CN" w:bidi="ar-SA"/>
              </w:rPr>
            </w:pPr>
            <w:r>
              <w:rPr>
                <w:rFonts w:hint="eastAsia" w:ascii="仿宋_GB2312" w:hAnsi="仿宋_GB2312" w:eastAsia="仿宋_GB2312" w:cs="仿宋_GB2312"/>
                <w:sz w:val="21"/>
                <w:szCs w:val="21"/>
                <w:highlight w:val="none"/>
                <w:vertAlign w:val="baseline"/>
                <w:lang w:val="en-US" w:eastAsia="zh-CN"/>
              </w:rPr>
              <w:t>11</w:t>
            </w:r>
          </w:p>
        </w:tc>
        <w:tc>
          <w:tcPr>
            <w:tcW w:w="1339" w:type="dxa"/>
            <w:tcBorders>
              <w:tl2br w:val="nil"/>
              <w:tr2bl w:val="nil"/>
            </w:tcBorders>
            <w:noWrap w:val="0"/>
            <w:vAlign w:val="center"/>
          </w:tcPr>
          <w:p w14:paraId="6A2F42E0">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kern w:val="2"/>
                <w:sz w:val="21"/>
                <w:szCs w:val="21"/>
                <w:highlight w:val="none"/>
                <w:vertAlign w:val="baseline"/>
                <w:lang w:val="en-US" w:eastAsia="zh-CN" w:bidi="ar-SA"/>
              </w:rPr>
            </w:pPr>
            <w:r>
              <w:rPr>
                <w:rFonts w:hint="eastAsia" w:ascii="仿宋_GB2312" w:hAnsi="仿宋_GB2312" w:eastAsia="仿宋_GB2312" w:cs="仿宋_GB2312"/>
                <w:sz w:val="21"/>
                <w:szCs w:val="21"/>
                <w:highlight w:val="none"/>
                <w:vertAlign w:val="baseline"/>
                <w:lang w:val="en-US" w:eastAsia="zh-CN"/>
              </w:rPr>
              <w:t>遗体长时间存放服务</w:t>
            </w:r>
          </w:p>
        </w:tc>
        <w:tc>
          <w:tcPr>
            <w:tcW w:w="8804" w:type="dxa"/>
            <w:tcBorders>
              <w:tl2br w:val="nil"/>
              <w:tr2bl w:val="nil"/>
            </w:tcBorders>
            <w:noWrap w:val="0"/>
            <w:vAlign w:val="center"/>
          </w:tcPr>
          <w:p w14:paraId="3EF221DE">
            <w:pPr>
              <w:pStyle w:val="8"/>
              <w:keepNext w:val="0"/>
              <w:keepLines w:val="0"/>
              <w:pageBreakBefore w:val="0"/>
              <w:widowControl w:val="0"/>
              <w:kinsoku/>
              <w:wordWrap/>
              <w:overflowPunct/>
              <w:topLinePunct w:val="0"/>
              <w:autoSpaceDE/>
              <w:autoSpaceDN/>
              <w:bidi w:val="0"/>
              <w:adjustRightInd/>
              <w:snapToGrid/>
              <w:spacing w:line="0" w:lineRule="atLeast"/>
              <w:ind w:firstLine="420" w:firstLineChars="200"/>
              <w:jc w:val="left"/>
              <w:textAlignment w:val="baseline"/>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当丧属需要存放遗体超出基础项目中“遗体存放”所规定的基础时长时，为丧属继续提供遗体存放服务。服务标准保持不变。</w:t>
            </w:r>
          </w:p>
          <w:p w14:paraId="78F9757E">
            <w:pPr>
              <w:pStyle w:val="8"/>
              <w:keepNext w:val="0"/>
              <w:keepLines w:val="0"/>
              <w:pageBreakBefore w:val="0"/>
              <w:widowControl w:val="0"/>
              <w:kinsoku/>
              <w:wordWrap/>
              <w:overflowPunct/>
              <w:topLinePunct w:val="0"/>
              <w:autoSpaceDE/>
              <w:autoSpaceDN/>
              <w:bidi w:val="0"/>
              <w:adjustRightInd/>
              <w:snapToGrid/>
              <w:spacing w:line="0" w:lineRule="atLeast"/>
              <w:ind w:firstLine="420" w:firstLineChars="200"/>
              <w:jc w:val="left"/>
              <w:textAlignment w:val="baseline"/>
              <w:rPr>
                <w:rFonts w:hint="eastAsia" w:ascii="仿宋_GB2312" w:hAnsi="仿宋_GB2312" w:eastAsia="仿宋_GB2312" w:cs="仿宋_GB2312"/>
                <w:kern w:val="2"/>
                <w:sz w:val="21"/>
                <w:szCs w:val="21"/>
                <w:highlight w:val="none"/>
                <w:vertAlign w:val="baseline"/>
                <w:lang w:val="en-US" w:eastAsia="zh-CN" w:bidi="ar-SA"/>
              </w:rPr>
            </w:pPr>
            <w:r>
              <w:rPr>
                <w:rFonts w:hint="eastAsia" w:ascii="仿宋_GB2312" w:hAnsi="仿宋_GB2312" w:eastAsia="仿宋_GB2312" w:cs="仿宋_GB2312"/>
                <w:sz w:val="21"/>
                <w:szCs w:val="21"/>
                <w:highlight w:val="none"/>
                <w:vertAlign w:val="baseline"/>
                <w:lang w:val="en-US" w:eastAsia="zh-CN"/>
              </w:rPr>
              <w:t>按天收费。超出基础时长后，不足24小时按1天计费。超出24小时不满36小时，按1.5天计费，超出36小时不满48小时，按2天计费，以此类推。存放时间超出7天后，超出时间价格按XX%计费。</w:t>
            </w:r>
          </w:p>
        </w:tc>
        <w:tc>
          <w:tcPr>
            <w:tcW w:w="876" w:type="dxa"/>
            <w:tcBorders>
              <w:tl2br w:val="nil"/>
              <w:tr2bl w:val="nil"/>
            </w:tcBorders>
            <w:noWrap w:val="0"/>
            <w:vAlign w:val="center"/>
          </w:tcPr>
          <w:p w14:paraId="3E87CBCD">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kern w:val="2"/>
                <w:sz w:val="21"/>
                <w:szCs w:val="21"/>
                <w:highlight w:val="none"/>
                <w:vertAlign w:val="baseline"/>
                <w:lang w:val="en-US" w:eastAsia="zh-CN" w:bidi="ar-SA"/>
              </w:rPr>
            </w:pPr>
            <w:r>
              <w:rPr>
                <w:rFonts w:hint="default" w:ascii="仿宋_GB2312" w:hAnsi="仿宋_GB2312" w:eastAsia="仿宋_GB2312" w:cs="仿宋_GB2312"/>
                <w:sz w:val="21"/>
                <w:szCs w:val="21"/>
                <w:highlight w:val="none"/>
                <w:vertAlign w:val="baseline"/>
                <w:lang w:val="en-US" w:eastAsia="zh-CN"/>
              </w:rPr>
              <w:t>元/</w:t>
            </w:r>
            <w:r>
              <w:rPr>
                <w:rFonts w:hint="eastAsia" w:ascii="仿宋_GB2312" w:hAnsi="仿宋_GB2312" w:eastAsia="仿宋_GB2312" w:cs="仿宋_GB2312"/>
                <w:sz w:val="21"/>
                <w:szCs w:val="21"/>
                <w:highlight w:val="none"/>
                <w:vertAlign w:val="baseline"/>
                <w:lang w:val="en-US" w:eastAsia="zh-CN"/>
              </w:rPr>
              <w:t>天</w:t>
            </w:r>
          </w:p>
        </w:tc>
        <w:tc>
          <w:tcPr>
            <w:tcW w:w="1393" w:type="dxa"/>
            <w:tcBorders>
              <w:tl2br w:val="nil"/>
              <w:tr2bl w:val="nil"/>
            </w:tcBorders>
            <w:noWrap w:val="0"/>
            <w:vAlign w:val="center"/>
          </w:tcPr>
          <w:p w14:paraId="3CADFB9A">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市场调节价</w:t>
            </w:r>
          </w:p>
        </w:tc>
      </w:tr>
      <w:tr w14:paraId="16555CC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560" w:type="dxa"/>
            <w:tcBorders>
              <w:tl2br w:val="nil"/>
              <w:tr2bl w:val="nil"/>
            </w:tcBorders>
            <w:noWrap w:val="0"/>
            <w:vAlign w:val="center"/>
          </w:tcPr>
          <w:p w14:paraId="16B6BFDD">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kern w:val="2"/>
                <w:sz w:val="21"/>
                <w:szCs w:val="21"/>
                <w:highlight w:val="none"/>
                <w:vertAlign w:val="baseline"/>
                <w:lang w:val="en-US" w:eastAsia="zh-CN" w:bidi="ar-SA"/>
              </w:rPr>
            </w:pPr>
            <w:r>
              <w:rPr>
                <w:rFonts w:hint="eastAsia" w:ascii="仿宋_GB2312" w:hAnsi="仿宋_GB2312" w:eastAsia="仿宋_GB2312" w:cs="仿宋_GB2312"/>
                <w:sz w:val="21"/>
                <w:szCs w:val="21"/>
                <w:highlight w:val="none"/>
                <w:vertAlign w:val="baseline"/>
                <w:lang w:val="en-US" w:eastAsia="zh-CN"/>
              </w:rPr>
              <w:t>12</w:t>
            </w:r>
          </w:p>
        </w:tc>
        <w:tc>
          <w:tcPr>
            <w:tcW w:w="1339" w:type="dxa"/>
            <w:tcBorders>
              <w:tl2br w:val="nil"/>
              <w:tr2bl w:val="nil"/>
            </w:tcBorders>
            <w:noWrap w:val="0"/>
            <w:vAlign w:val="center"/>
          </w:tcPr>
          <w:p w14:paraId="3E1D0754">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kern w:val="2"/>
                <w:sz w:val="21"/>
                <w:szCs w:val="21"/>
                <w:highlight w:val="none"/>
                <w:vertAlign w:val="baseline"/>
                <w:lang w:val="en-US" w:eastAsia="zh-CN" w:bidi="ar-SA"/>
              </w:rPr>
            </w:pPr>
            <w:r>
              <w:rPr>
                <w:rFonts w:hint="default" w:ascii="仿宋_GB2312" w:hAnsi="仿宋_GB2312" w:eastAsia="仿宋_GB2312" w:cs="仿宋_GB2312"/>
                <w:sz w:val="21"/>
                <w:szCs w:val="21"/>
                <w:highlight w:val="none"/>
                <w:vertAlign w:val="baseline"/>
                <w:lang w:val="en-US" w:eastAsia="zh-CN"/>
              </w:rPr>
              <w:t>遗体</w:t>
            </w:r>
            <w:r>
              <w:rPr>
                <w:rFonts w:hint="eastAsia" w:ascii="仿宋_GB2312" w:hAnsi="仿宋_GB2312" w:eastAsia="仿宋_GB2312" w:cs="仿宋_GB2312"/>
                <w:sz w:val="21"/>
                <w:szCs w:val="21"/>
                <w:highlight w:val="none"/>
                <w:vertAlign w:val="baseline"/>
                <w:lang w:val="en-US" w:eastAsia="zh-CN"/>
              </w:rPr>
              <w:t>市县间、两县间</w:t>
            </w:r>
            <w:r>
              <w:rPr>
                <w:rFonts w:hint="default" w:ascii="仿宋_GB2312" w:hAnsi="仿宋_GB2312" w:eastAsia="仿宋_GB2312" w:cs="仿宋_GB2312"/>
                <w:sz w:val="21"/>
                <w:szCs w:val="21"/>
                <w:highlight w:val="none"/>
                <w:vertAlign w:val="baseline"/>
                <w:lang w:val="en-US" w:eastAsia="zh-CN"/>
              </w:rPr>
              <w:t>接运</w:t>
            </w:r>
          </w:p>
        </w:tc>
        <w:tc>
          <w:tcPr>
            <w:tcW w:w="8804" w:type="dxa"/>
            <w:tcBorders>
              <w:tl2br w:val="nil"/>
              <w:tr2bl w:val="nil"/>
            </w:tcBorders>
            <w:noWrap w:val="0"/>
            <w:vAlign w:val="center"/>
          </w:tcPr>
          <w:p w14:paraId="235C4477">
            <w:pPr>
              <w:pStyle w:val="8"/>
              <w:keepNext w:val="0"/>
              <w:keepLines w:val="0"/>
              <w:pageBreakBefore w:val="0"/>
              <w:widowControl w:val="0"/>
              <w:kinsoku/>
              <w:wordWrap/>
              <w:overflowPunct/>
              <w:topLinePunct w:val="0"/>
              <w:autoSpaceDE/>
              <w:autoSpaceDN/>
              <w:bidi w:val="0"/>
              <w:adjustRightInd/>
              <w:snapToGrid/>
              <w:spacing w:line="0" w:lineRule="atLeast"/>
              <w:ind w:firstLine="420" w:firstLineChars="200"/>
              <w:jc w:val="left"/>
              <w:textAlignment w:val="baseline"/>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从市殡仪服务中心、本溪县殡仪服务中心、桓仁县殡仪服务中心、南芬区殡葬服务中心或其他指定地点将遗体接运至本市其他殡仪服务中心所产生的交通运输费用。</w:t>
            </w:r>
          </w:p>
          <w:p w14:paraId="2FFDDE2C">
            <w:pPr>
              <w:pStyle w:val="8"/>
              <w:keepNext w:val="0"/>
              <w:keepLines w:val="0"/>
              <w:pageBreakBefore w:val="0"/>
              <w:widowControl w:val="0"/>
              <w:kinsoku/>
              <w:wordWrap/>
              <w:overflowPunct/>
              <w:topLinePunct w:val="0"/>
              <w:autoSpaceDE/>
              <w:autoSpaceDN/>
              <w:bidi w:val="0"/>
              <w:adjustRightInd/>
              <w:snapToGrid/>
              <w:spacing w:line="0" w:lineRule="atLeast"/>
              <w:ind w:firstLine="420" w:firstLineChars="200"/>
              <w:jc w:val="left"/>
              <w:textAlignment w:val="baseline"/>
              <w:rPr>
                <w:rFonts w:hint="eastAsia" w:ascii="仿宋_GB2312" w:hAnsi="仿宋_GB2312" w:eastAsia="仿宋_GB2312" w:cs="仿宋_GB2312"/>
                <w:kern w:val="2"/>
                <w:sz w:val="21"/>
                <w:szCs w:val="21"/>
                <w:highlight w:val="none"/>
                <w:vertAlign w:val="baseline"/>
                <w:lang w:val="en-US" w:eastAsia="zh-CN" w:bidi="ar-SA"/>
              </w:rPr>
            </w:pPr>
            <w:r>
              <w:rPr>
                <w:rFonts w:hint="eastAsia" w:ascii="仿宋_GB2312" w:hAnsi="仿宋_GB2312" w:eastAsia="仿宋_GB2312" w:cs="仿宋_GB2312"/>
                <w:sz w:val="21"/>
                <w:szCs w:val="21"/>
                <w:highlight w:val="none"/>
                <w:vertAlign w:val="baseline"/>
                <w:lang w:val="en-US" w:eastAsia="zh-CN"/>
              </w:rPr>
              <w:t>按次收费。以单次运送单具遗体计费，不得同时运输2具（含）以上遗体。若途径高速、发生绕行等情况，不加收任何费用。丧属同乘不加收任何费用，但不得超载。</w:t>
            </w:r>
          </w:p>
        </w:tc>
        <w:tc>
          <w:tcPr>
            <w:tcW w:w="876" w:type="dxa"/>
            <w:tcBorders>
              <w:tl2br w:val="nil"/>
              <w:tr2bl w:val="nil"/>
            </w:tcBorders>
            <w:noWrap w:val="0"/>
            <w:vAlign w:val="center"/>
          </w:tcPr>
          <w:p w14:paraId="79C37663">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kern w:val="2"/>
                <w:sz w:val="21"/>
                <w:szCs w:val="21"/>
                <w:highlight w:val="none"/>
                <w:vertAlign w:val="baseline"/>
                <w:lang w:val="en-US" w:eastAsia="zh-CN" w:bidi="ar-SA"/>
              </w:rPr>
            </w:pPr>
            <w:r>
              <w:rPr>
                <w:rFonts w:hint="default" w:ascii="仿宋_GB2312" w:hAnsi="仿宋_GB2312" w:eastAsia="仿宋_GB2312" w:cs="仿宋_GB2312"/>
                <w:sz w:val="21"/>
                <w:szCs w:val="21"/>
                <w:highlight w:val="none"/>
                <w:vertAlign w:val="baseline"/>
                <w:lang w:val="en-US" w:eastAsia="zh-CN"/>
              </w:rPr>
              <w:t>元/次</w:t>
            </w:r>
          </w:p>
        </w:tc>
        <w:tc>
          <w:tcPr>
            <w:tcW w:w="1393" w:type="dxa"/>
            <w:tcBorders>
              <w:tl2br w:val="nil"/>
              <w:tr2bl w:val="nil"/>
            </w:tcBorders>
            <w:noWrap w:val="0"/>
            <w:vAlign w:val="center"/>
          </w:tcPr>
          <w:p w14:paraId="57E7B3B4">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市场调节价</w:t>
            </w:r>
          </w:p>
        </w:tc>
      </w:tr>
      <w:tr w14:paraId="32DDD9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560" w:type="dxa"/>
            <w:tcBorders>
              <w:tl2br w:val="nil"/>
              <w:tr2bl w:val="nil"/>
            </w:tcBorders>
            <w:noWrap w:val="0"/>
            <w:vAlign w:val="center"/>
          </w:tcPr>
          <w:p w14:paraId="4A28AE57">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kern w:val="2"/>
                <w:sz w:val="21"/>
                <w:szCs w:val="21"/>
                <w:highlight w:val="none"/>
                <w:vertAlign w:val="baseline"/>
                <w:lang w:val="en-US" w:eastAsia="zh-CN" w:bidi="ar-SA"/>
              </w:rPr>
            </w:pPr>
            <w:r>
              <w:rPr>
                <w:rFonts w:hint="eastAsia" w:ascii="仿宋_GB2312" w:hAnsi="仿宋_GB2312" w:eastAsia="仿宋_GB2312" w:cs="仿宋_GB2312"/>
                <w:sz w:val="21"/>
                <w:szCs w:val="21"/>
                <w:highlight w:val="none"/>
                <w:vertAlign w:val="baseline"/>
                <w:lang w:val="en-US" w:eastAsia="zh-CN"/>
              </w:rPr>
              <w:t>13</w:t>
            </w:r>
          </w:p>
        </w:tc>
        <w:tc>
          <w:tcPr>
            <w:tcW w:w="1339" w:type="dxa"/>
            <w:tcBorders>
              <w:tl2br w:val="nil"/>
              <w:tr2bl w:val="nil"/>
            </w:tcBorders>
            <w:noWrap w:val="0"/>
            <w:vAlign w:val="center"/>
          </w:tcPr>
          <w:p w14:paraId="3F6A77B0">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遗体外市</w:t>
            </w:r>
          </w:p>
          <w:p w14:paraId="39197291">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kern w:val="2"/>
                <w:sz w:val="21"/>
                <w:szCs w:val="21"/>
                <w:highlight w:val="none"/>
                <w:vertAlign w:val="baseline"/>
                <w:lang w:val="en-US" w:eastAsia="zh-CN" w:bidi="ar-SA"/>
              </w:rPr>
            </w:pPr>
            <w:r>
              <w:rPr>
                <w:rFonts w:hint="eastAsia" w:ascii="仿宋_GB2312" w:hAnsi="仿宋_GB2312" w:eastAsia="仿宋_GB2312" w:cs="仿宋_GB2312"/>
                <w:sz w:val="21"/>
                <w:szCs w:val="21"/>
                <w:highlight w:val="none"/>
                <w:vertAlign w:val="baseline"/>
                <w:lang w:val="en-US" w:eastAsia="zh-CN"/>
              </w:rPr>
              <w:t>接运</w:t>
            </w:r>
          </w:p>
        </w:tc>
        <w:tc>
          <w:tcPr>
            <w:tcW w:w="8804" w:type="dxa"/>
            <w:tcBorders>
              <w:tl2br w:val="nil"/>
              <w:tr2bl w:val="nil"/>
            </w:tcBorders>
            <w:noWrap w:val="0"/>
            <w:vAlign w:val="center"/>
          </w:tcPr>
          <w:p w14:paraId="183EB0D2">
            <w:pPr>
              <w:pStyle w:val="8"/>
              <w:keepNext w:val="0"/>
              <w:keepLines w:val="0"/>
              <w:pageBreakBefore w:val="0"/>
              <w:widowControl w:val="0"/>
              <w:kinsoku/>
              <w:wordWrap/>
              <w:overflowPunct/>
              <w:topLinePunct w:val="0"/>
              <w:autoSpaceDE/>
              <w:autoSpaceDN/>
              <w:bidi w:val="0"/>
              <w:adjustRightInd/>
              <w:snapToGrid/>
              <w:spacing w:line="0" w:lineRule="atLeast"/>
              <w:ind w:firstLine="420" w:firstLineChars="200"/>
              <w:jc w:val="left"/>
              <w:textAlignment w:val="baseline"/>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从市殡仪服务中心、本溪县殡仪服务中心、桓仁县殡仪服务中心、南芬区殡葬服务中心将遗体运送至外市殡仪服务中心或由外市接回至本市任意1家殡仪服务服务中心，所产生的交通运输费用。</w:t>
            </w:r>
          </w:p>
          <w:p w14:paraId="37A1B2EB">
            <w:pPr>
              <w:pStyle w:val="8"/>
              <w:keepNext w:val="0"/>
              <w:keepLines w:val="0"/>
              <w:pageBreakBefore w:val="0"/>
              <w:widowControl w:val="0"/>
              <w:kinsoku/>
              <w:wordWrap/>
              <w:overflowPunct/>
              <w:topLinePunct w:val="0"/>
              <w:autoSpaceDE/>
              <w:autoSpaceDN/>
              <w:bidi w:val="0"/>
              <w:adjustRightInd/>
              <w:snapToGrid/>
              <w:spacing w:line="0" w:lineRule="atLeast"/>
              <w:ind w:firstLine="420" w:firstLineChars="200"/>
              <w:jc w:val="left"/>
              <w:textAlignment w:val="baseline"/>
              <w:rPr>
                <w:rFonts w:hint="eastAsia" w:ascii="仿宋_GB2312" w:hAnsi="仿宋_GB2312" w:eastAsia="仿宋_GB2312" w:cs="仿宋_GB2312"/>
                <w:kern w:val="2"/>
                <w:sz w:val="21"/>
                <w:szCs w:val="21"/>
                <w:highlight w:val="none"/>
                <w:vertAlign w:val="baseline"/>
                <w:lang w:val="en-US" w:eastAsia="zh-CN" w:bidi="ar-SA"/>
              </w:rPr>
            </w:pPr>
            <w:r>
              <w:rPr>
                <w:rFonts w:hint="eastAsia" w:ascii="仿宋_GB2312" w:hAnsi="仿宋_GB2312" w:eastAsia="仿宋_GB2312" w:cs="仿宋_GB2312"/>
                <w:sz w:val="21"/>
                <w:szCs w:val="21"/>
                <w:highlight w:val="none"/>
                <w:vertAlign w:val="baseline"/>
                <w:lang w:val="en-US" w:eastAsia="zh-CN"/>
              </w:rPr>
              <w:t>按里程数收费。以单次运送单具遗体的里程数计费，不得同时运输2具（含）以上遗体。按车辆里程表差值核定行驶里程。途径高速不加收高速费。丧属同乘不加收任何费用，但不得超载。</w:t>
            </w:r>
          </w:p>
        </w:tc>
        <w:tc>
          <w:tcPr>
            <w:tcW w:w="876" w:type="dxa"/>
            <w:tcBorders>
              <w:tl2br w:val="nil"/>
              <w:tr2bl w:val="nil"/>
            </w:tcBorders>
            <w:noWrap w:val="0"/>
            <w:vAlign w:val="center"/>
          </w:tcPr>
          <w:p w14:paraId="6F9D6CA6">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kern w:val="2"/>
                <w:sz w:val="21"/>
                <w:szCs w:val="21"/>
                <w:highlight w:val="none"/>
                <w:vertAlign w:val="baseline"/>
                <w:lang w:val="en-US" w:eastAsia="zh-CN" w:bidi="ar-SA"/>
              </w:rPr>
            </w:pPr>
            <w:r>
              <w:rPr>
                <w:rFonts w:hint="default" w:ascii="仿宋_GB2312" w:hAnsi="仿宋_GB2312" w:eastAsia="仿宋_GB2312" w:cs="仿宋_GB2312"/>
                <w:w w:val="85"/>
                <w:sz w:val="21"/>
                <w:szCs w:val="21"/>
                <w:highlight w:val="none"/>
                <w:vertAlign w:val="baseline"/>
                <w:lang w:val="en-US" w:eastAsia="zh-CN"/>
              </w:rPr>
              <w:t>元/</w:t>
            </w:r>
            <w:r>
              <w:rPr>
                <w:rFonts w:hint="eastAsia" w:ascii="仿宋_GB2312" w:hAnsi="仿宋_GB2312" w:eastAsia="仿宋_GB2312" w:cs="仿宋_GB2312"/>
                <w:w w:val="85"/>
                <w:sz w:val="21"/>
                <w:szCs w:val="21"/>
                <w:highlight w:val="none"/>
                <w:vertAlign w:val="baseline"/>
                <w:lang w:val="en-US" w:eastAsia="zh-CN"/>
              </w:rPr>
              <w:t>公里</w:t>
            </w:r>
          </w:p>
        </w:tc>
        <w:tc>
          <w:tcPr>
            <w:tcW w:w="1393" w:type="dxa"/>
            <w:tcBorders>
              <w:tl2br w:val="nil"/>
              <w:tr2bl w:val="nil"/>
            </w:tcBorders>
            <w:noWrap w:val="0"/>
            <w:vAlign w:val="center"/>
          </w:tcPr>
          <w:p w14:paraId="73E1F671">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市场调节价</w:t>
            </w:r>
          </w:p>
        </w:tc>
      </w:tr>
      <w:tr w14:paraId="64DA05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560" w:type="dxa"/>
            <w:tcBorders>
              <w:tl2br w:val="nil"/>
              <w:tr2bl w:val="nil"/>
            </w:tcBorders>
            <w:noWrap w:val="0"/>
            <w:vAlign w:val="center"/>
          </w:tcPr>
          <w:p w14:paraId="58B4A7CC">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kern w:val="2"/>
                <w:sz w:val="21"/>
                <w:szCs w:val="21"/>
                <w:highlight w:val="none"/>
                <w:vertAlign w:val="baseline"/>
                <w:lang w:val="en-US" w:eastAsia="zh-CN" w:bidi="ar-SA"/>
              </w:rPr>
            </w:pPr>
            <w:r>
              <w:rPr>
                <w:rFonts w:hint="eastAsia" w:ascii="仿宋_GB2312" w:hAnsi="仿宋_GB2312" w:eastAsia="仿宋_GB2312" w:cs="仿宋_GB2312"/>
                <w:sz w:val="21"/>
                <w:szCs w:val="21"/>
                <w:highlight w:val="none"/>
                <w:vertAlign w:val="baseline"/>
                <w:lang w:val="en-US" w:eastAsia="zh-CN"/>
              </w:rPr>
              <w:t>14</w:t>
            </w:r>
          </w:p>
        </w:tc>
        <w:tc>
          <w:tcPr>
            <w:tcW w:w="1339" w:type="dxa"/>
            <w:tcBorders>
              <w:tl2br w:val="nil"/>
              <w:tr2bl w:val="nil"/>
            </w:tcBorders>
            <w:noWrap w:val="0"/>
            <w:vAlign w:val="center"/>
          </w:tcPr>
          <w:p w14:paraId="6FBC7C3C">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kern w:val="2"/>
                <w:sz w:val="21"/>
                <w:szCs w:val="21"/>
                <w:highlight w:val="none"/>
                <w:vertAlign w:val="baseline"/>
                <w:lang w:val="en-US" w:eastAsia="zh-CN" w:bidi="ar-SA"/>
              </w:rPr>
            </w:pPr>
            <w:r>
              <w:rPr>
                <w:rFonts w:hint="eastAsia" w:ascii="仿宋_GB2312" w:hAnsi="仿宋_GB2312" w:eastAsia="仿宋_GB2312" w:cs="仿宋_GB2312"/>
                <w:sz w:val="21"/>
                <w:szCs w:val="21"/>
                <w:highlight w:val="none"/>
                <w:vertAlign w:val="baseline"/>
                <w:lang w:val="en-US" w:eastAsia="zh-CN"/>
              </w:rPr>
              <w:t>非正常遗体接运服务</w:t>
            </w:r>
          </w:p>
        </w:tc>
        <w:tc>
          <w:tcPr>
            <w:tcW w:w="8804" w:type="dxa"/>
            <w:tcBorders>
              <w:tl2br w:val="nil"/>
              <w:tr2bl w:val="nil"/>
            </w:tcBorders>
            <w:noWrap w:val="0"/>
            <w:vAlign w:val="center"/>
          </w:tcPr>
          <w:p w14:paraId="25D890F0">
            <w:pPr>
              <w:pStyle w:val="8"/>
              <w:keepNext w:val="0"/>
              <w:keepLines w:val="0"/>
              <w:pageBreakBefore w:val="0"/>
              <w:widowControl w:val="0"/>
              <w:kinsoku/>
              <w:wordWrap/>
              <w:overflowPunct/>
              <w:topLinePunct w:val="0"/>
              <w:autoSpaceDE/>
              <w:autoSpaceDN/>
              <w:bidi w:val="0"/>
              <w:adjustRightInd/>
              <w:snapToGrid/>
              <w:spacing w:line="0" w:lineRule="atLeast"/>
              <w:ind w:firstLine="420" w:firstLineChars="200"/>
              <w:jc w:val="left"/>
              <w:textAlignment w:val="baseline"/>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为公安机关或丧属提供非正常遗体（高度腐败遗体除外）接运服务，包括但不限于将非正常遗体收殓、抬尸、遗体消毒、装卸、运输等服务。不包含跨区域运输遗体。</w:t>
            </w:r>
          </w:p>
          <w:p w14:paraId="2B9E9338">
            <w:pPr>
              <w:pStyle w:val="8"/>
              <w:keepNext w:val="0"/>
              <w:keepLines w:val="0"/>
              <w:pageBreakBefore w:val="0"/>
              <w:widowControl w:val="0"/>
              <w:kinsoku/>
              <w:wordWrap/>
              <w:overflowPunct/>
              <w:topLinePunct w:val="0"/>
              <w:autoSpaceDE/>
              <w:autoSpaceDN/>
              <w:bidi w:val="0"/>
              <w:adjustRightInd/>
              <w:snapToGrid/>
              <w:spacing w:line="0" w:lineRule="atLeast"/>
              <w:ind w:firstLine="420" w:firstLineChars="200"/>
              <w:jc w:val="left"/>
              <w:textAlignment w:val="baseline"/>
              <w:rPr>
                <w:rFonts w:hint="eastAsia" w:ascii="仿宋_GB2312" w:hAnsi="仿宋_GB2312" w:eastAsia="仿宋_GB2312" w:cs="仿宋_GB2312"/>
                <w:kern w:val="2"/>
                <w:sz w:val="21"/>
                <w:szCs w:val="21"/>
                <w:highlight w:val="none"/>
                <w:vertAlign w:val="baseline"/>
                <w:lang w:val="en-US" w:eastAsia="zh-CN" w:bidi="ar-SA"/>
              </w:rPr>
            </w:pPr>
            <w:r>
              <w:rPr>
                <w:rFonts w:hint="eastAsia" w:ascii="仿宋_GB2312" w:hAnsi="仿宋_GB2312" w:eastAsia="仿宋_GB2312" w:cs="仿宋_GB2312"/>
                <w:sz w:val="21"/>
                <w:szCs w:val="21"/>
                <w:highlight w:val="none"/>
                <w:vertAlign w:val="baseline"/>
                <w:lang w:val="en-US" w:eastAsia="zh-CN"/>
              </w:rPr>
              <w:t>按次收费。以单次运送单具遗体计费，不得同时运输2具（含）以上遗体。若途径高速、发生绕行等情况，不加收任何费用。丧属同乘不加收任何费用，但不得超载。</w:t>
            </w:r>
          </w:p>
        </w:tc>
        <w:tc>
          <w:tcPr>
            <w:tcW w:w="876" w:type="dxa"/>
            <w:tcBorders>
              <w:tl2br w:val="nil"/>
              <w:tr2bl w:val="nil"/>
            </w:tcBorders>
            <w:noWrap w:val="0"/>
            <w:vAlign w:val="center"/>
          </w:tcPr>
          <w:p w14:paraId="28FCA695">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kern w:val="2"/>
                <w:sz w:val="21"/>
                <w:szCs w:val="21"/>
                <w:highlight w:val="none"/>
                <w:vertAlign w:val="baseline"/>
                <w:lang w:val="en-US" w:eastAsia="zh-CN" w:bidi="ar-SA"/>
              </w:rPr>
            </w:pPr>
            <w:r>
              <w:rPr>
                <w:rFonts w:hint="default" w:ascii="仿宋_GB2312" w:hAnsi="仿宋_GB2312" w:eastAsia="仿宋_GB2312" w:cs="仿宋_GB2312"/>
                <w:sz w:val="21"/>
                <w:szCs w:val="21"/>
                <w:highlight w:val="none"/>
                <w:vertAlign w:val="baseline"/>
                <w:lang w:val="en-US" w:eastAsia="zh-CN"/>
              </w:rPr>
              <w:t>元/</w:t>
            </w:r>
            <w:r>
              <w:rPr>
                <w:rFonts w:hint="eastAsia" w:ascii="仿宋_GB2312" w:hAnsi="仿宋_GB2312" w:eastAsia="仿宋_GB2312" w:cs="仿宋_GB2312"/>
                <w:sz w:val="21"/>
                <w:szCs w:val="21"/>
                <w:highlight w:val="none"/>
                <w:vertAlign w:val="baseline"/>
                <w:lang w:val="en-US" w:eastAsia="zh-CN"/>
              </w:rPr>
              <w:t>具</w:t>
            </w:r>
          </w:p>
        </w:tc>
        <w:tc>
          <w:tcPr>
            <w:tcW w:w="1393" w:type="dxa"/>
            <w:tcBorders>
              <w:tl2br w:val="nil"/>
              <w:tr2bl w:val="nil"/>
            </w:tcBorders>
            <w:noWrap w:val="0"/>
            <w:vAlign w:val="center"/>
          </w:tcPr>
          <w:p w14:paraId="5896C387">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b w:val="0"/>
                <w:bCs w:val="0"/>
                <w:kern w:val="2"/>
                <w:sz w:val="21"/>
                <w:szCs w:val="21"/>
                <w:highlight w:val="none"/>
                <w:u w:val="none"/>
                <w:vertAlign w:val="baseline"/>
                <w:lang w:val="en-US" w:eastAsia="zh-CN" w:bidi="ar-SA"/>
              </w:rPr>
              <w:t>市场</w:t>
            </w:r>
            <w:r>
              <w:rPr>
                <w:rFonts w:hint="eastAsia" w:ascii="仿宋_GB2312" w:hAnsi="仿宋_GB2312" w:eastAsia="仿宋_GB2312" w:cs="仿宋_GB2312"/>
                <w:sz w:val="21"/>
                <w:szCs w:val="21"/>
                <w:highlight w:val="none"/>
                <w:vertAlign w:val="baseline"/>
                <w:lang w:val="en-US" w:eastAsia="zh-CN"/>
              </w:rPr>
              <w:t>调节价</w:t>
            </w:r>
          </w:p>
        </w:tc>
      </w:tr>
      <w:tr w14:paraId="263507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560" w:type="dxa"/>
            <w:tcBorders>
              <w:tl2br w:val="nil"/>
              <w:tr2bl w:val="nil"/>
            </w:tcBorders>
            <w:noWrap w:val="0"/>
            <w:vAlign w:val="center"/>
          </w:tcPr>
          <w:p w14:paraId="6745943B">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kern w:val="2"/>
                <w:sz w:val="21"/>
                <w:szCs w:val="21"/>
                <w:highlight w:val="none"/>
                <w:vertAlign w:val="baseline"/>
                <w:lang w:val="en-US" w:eastAsia="zh-CN" w:bidi="ar-SA"/>
              </w:rPr>
            </w:pPr>
            <w:r>
              <w:rPr>
                <w:rFonts w:hint="eastAsia" w:ascii="仿宋_GB2312" w:hAnsi="仿宋_GB2312" w:eastAsia="仿宋_GB2312" w:cs="仿宋_GB2312"/>
                <w:sz w:val="21"/>
                <w:szCs w:val="21"/>
                <w:highlight w:val="none"/>
                <w:vertAlign w:val="baseline"/>
                <w:lang w:val="en-US" w:eastAsia="zh-CN"/>
              </w:rPr>
              <w:t>15</w:t>
            </w:r>
          </w:p>
        </w:tc>
        <w:tc>
          <w:tcPr>
            <w:tcW w:w="1339" w:type="dxa"/>
            <w:tcBorders>
              <w:tl2br w:val="nil"/>
              <w:tr2bl w:val="nil"/>
            </w:tcBorders>
            <w:noWrap w:val="0"/>
            <w:vAlign w:val="center"/>
          </w:tcPr>
          <w:p w14:paraId="1A439E0C">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kern w:val="2"/>
                <w:sz w:val="21"/>
                <w:szCs w:val="21"/>
                <w:highlight w:val="none"/>
                <w:vertAlign w:val="baseline"/>
                <w:lang w:val="en-US" w:eastAsia="zh-CN" w:bidi="ar-SA"/>
              </w:rPr>
            </w:pPr>
            <w:r>
              <w:rPr>
                <w:rFonts w:hint="eastAsia" w:ascii="仿宋_GB2312" w:hAnsi="仿宋_GB2312" w:eastAsia="仿宋_GB2312" w:cs="仿宋_GB2312"/>
                <w:sz w:val="21"/>
                <w:szCs w:val="21"/>
                <w:highlight w:val="none"/>
                <w:vertAlign w:val="baseline"/>
                <w:lang w:val="en-US" w:eastAsia="zh-CN"/>
              </w:rPr>
              <w:t>送灯服务</w:t>
            </w:r>
          </w:p>
        </w:tc>
        <w:tc>
          <w:tcPr>
            <w:tcW w:w="8804" w:type="dxa"/>
            <w:tcBorders>
              <w:tl2br w:val="nil"/>
              <w:tr2bl w:val="nil"/>
            </w:tcBorders>
            <w:noWrap w:val="0"/>
            <w:vAlign w:val="center"/>
          </w:tcPr>
          <w:p w14:paraId="3B5C0D53">
            <w:pPr>
              <w:pStyle w:val="8"/>
              <w:keepNext w:val="0"/>
              <w:keepLines w:val="0"/>
              <w:pageBreakBefore w:val="0"/>
              <w:widowControl w:val="0"/>
              <w:kinsoku/>
              <w:wordWrap/>
              <w:overflowPunct/>
              <w:topLinePunct w:val="0"/>
              <w:autoSpaceDE/>
              <w:autoSpaceDN/>
              <w:bidi w:val="0"/>
              <w:adjustRightInd/>
              <w:snapToGrid/>
              <w:spacing w:line="0" w:lineRule="atLeast"/>
              <w:ind w:firstLine="420" w:firstLineChars="200"/>
              <w:jc w:val="left"/>
              <w:textAlignment w:val="baseline"/>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按本地风俗在大年三十、正月十五等时间，为丧属提供送灯服务。包括但不限于灯、电池、挂钩等基础服务。</w:t>
            </w:r>
          </w:p>
          <w:p w14:paraId="0926A378">
            <w:pPr>
              <w:pStyle w:val="8"/>
              <w:keepNext w:val="0"/>
              <w:keepLines w:val="0"/>
              <w:pageBreakBefore w:val="0"/>
              <w:widowControl w:val="0"/>
              <w:kinsoku/>
              <w:wordWrap/>
              <w:overflowPunct/>
              <w:topLinePunct w:val="0"/>
              <w:autoSpaceDE/>
              <w:autoSpaceDN/>
              <w:bidi w:val="0"/>
              <w:adjustRightInd/>
              <w:snapToGrid/>
              <w:spacing w:line="0" w:lineRule="atLeast"/>
              <w:ind w:firstLine="420" w:firstLineChars="200"/>
              <w:jc w:val="left"/>
              <w:textAlignment w:val="baseline"/>
              <w:rPr>
                <w:rFonts w:hint="default" w:ascii="仿宋_GB2312" w:hAnsi="仿宋_GB2312" w:eastAsia="仿宋_GB2312" w:cs="仿宋_GB2312"/>
                <w:kern w:val="2"/>
                <w:sz w:val="21"/>
                <w:szCs w:val="21"/>
                <w:highlight w:val="none"/>
                <w:vertAlign w:val="baseline"/>
                <w:lang w:val="en-US" w:eastAsia="zh-CN" w:bidi="ar-SA"/>
              </w:rPr>
            </w:pPr>
            <w:r>
              <w:rPr>
                <w:rFonts w:hint="eastAsia" w:ascii="仿宋_GB2312" w:hAnsi="仿宋_GB2312" w:eastAsia="仿宋_GB2312" w:cs="仿宋_GB2312"/>
                <w:sz w:val="21"/>
                <w:szCs w:val="21"/>
                <w:highlight w:val="none"/>
                <w:vertAlign w:val="baseline"/>
                <w:lang w:val="en-US" w:eastAsia="zh-CN"/>
              </w:rPr>
              <w:t>按次收费。以完成送灯标准服务流程计费。</w:t>
            </w:r>
          </w:p>
        </w:tc>
        <w:tc>
          <w:tcPr>
            <w:tcW w:w="876" w:type="dxa"/>
            <w:tcBorders>
              <w:tl2br w:val="nil"/>
              <w:tr2bl w:val="nil"/>
            </w:tcBorders>
            <w:noWrap w:val="0"/>
            <w:vAlign w:val="center"/>
          </w:tcPr>
          <w:p w14:paraId="0DD09073">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w w:val="75"/>
                <w:kern w:val="2"/>
                <w:sz w:val="21"/>
                <w:szCs w:val="21"/>
                <w:highlight w:val="none"/>
                <w:vertAlign w:val="baseline"/>
                <w:lang w:val="en-US" w:eastAsia="zh-CN" w:bidi="ar-SA"/>
              </w:rPr>
            </w:pPr>
            <w:r>
              <w:rPr>
                <w:rFonts w:hint="default" w:ascii="仿宋_GB2312" w:hAnsi="仿宋_GB2312" w:eastAsia="仿宋_GB2312" w:cs="仿宋_GB2312"/>
                <w:sz w:val="21"/>
                <w:szCs w:val="21"/>
                <w:highlight w:val="none"/>
                <w:vertAlign w:val="baseline"/>
                <w:lang w:val="en-US" w:eastAsia="zh-CN"/>
              </w:rPr>
              <w:t>元/次</w:t>
            </w:r>
          </w:p>
        </w:tc>
        <w:tc>
          <w:tcPr>
            <w:tcW w:w="1393" w:type="dxa"/>
            <w:tcBorders>
              <w:tl2br w:val="nil"/>
              <w:tr2bl w:val="nil"/>
            </w:tcBorders>
            <w:noWrap w:val="0"/>
            <w:vAlign w:val="center"/>
          </w:tcPr>
          <w:p w14:paraId="1285A112">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b w:val="0"/>
                <w:bCs w:val="0"/>
                <w:kern w:val="2"/>
                <w:sz w:val="21"/>
                <w:szCs w:val="21"/>
                <w:highlight w:val="none"/>
                <w:u w:val="none"/>
                <w:vertAlign w:val="baseline"/>
                <w:lang w:val="en-US" w:eastAsia="zh-CN" w:bidi="ar-SA"/>
              </w:rPr>
              <w:t>市场</w:t>
            </w:r>
            <w:r>
              <w:rPr>
                <w:rFonts w:hint="eastAsia" w:ascii="仿宋_GB2312" w:hAnsi="仿宋_GB2312" w:eastAsia="仿宋_GB2312" w:cs="仿宋_GB2312"/>
                <w:sz w:val="21"/>
                <w:szCs w:val="21"/>
                <w:highlight w:val="none"/>
                <w:vertAlign w:val="baseline"/>
                <w:lang w:val="en-US" w:eastAsia="zh-CN"/>
              </w:rPr>
              <w:t>调节价</w:t>
            </w:r>
          </w:p>
        </w:tc>
      </w:tr>
    </w:tbl>
    <w:p w14:paraId="796A784E">
      <w:pPr>
        <w:pStyle w:val="8"/>
        <w:keepNext w:val="0"/>
        <w:keepLines w:val="0"/>
        <w:pageBreakBefore w:val="0"/>
        <w:widowControl w:val="0"/>
        <w:kinsoku/>
        <w:wordWrap/>
        <w:overflowPunct/>
        <w:topLinePunct w:val="0"/>
        <w:autoSpaceDE/>
        <w:autoSpaceDN/>
        <w:bidi w:val="0"/>
        <w:adjustRightInd/>
        <w:snapToGrid/>
        <w:spacing w:line="0" w:lineRule="atLeast"/>
        <w:ind w:left="0" w:leftChars="0" w:firstLine="0" w:firstLineChars="0"/>
        <w:jc w:val="left"/>
        <w:textAlignment w:val="baseline"/>
        <w:rPr>
          <w:rFonts w:hint="eastAsia" w:ascii="黑体" w:hAnsi="黑体" w:eastAsia="黑体" w:cs="黑体"/>
          <w:b w:val="0"/>
          <w:bCs w:val="0"/>
          <w:sz w:val="20"/>
          <w:szCs w:val="20"/>
          <w:highlight w:val="none"/>
          <w:lang w:val="en-US" w:eastAsia="zh-CN"/>
        </w:rPr>
      </w:pPr>
    </w:p>
    <w:p w14:paraId="053A503D">
      <w:pPr>
        <w:pStyle w:val="8"/>
        <w:keepNext w:val="0"/>
        <w:keepLines w:val="0"/>
        <w:pageBreakBefore w:val="0"/>
        <w:widowControl w:val="0"/>
        <w:kinsoku/>
        <w:wordWrap/>
        <w:overflowPunct/>
        <w:topLinePunct w:val="0"/>
        <w:autoSpaceDE/>
        <w:autoSpaceDN/>
        <w:bidi w:val="0"/>
        <w:adjustRightInd/>
        <w:snapToGrid/>
        <w:spacing w:line="0" w:lineRule="atLeast"/>
        <w:ind w:left="0" w:leftChars="0" w:firstLine="0" w:firstLineChars="0"/>
        <w:jc w:val="left"/>
        <w:textAlignment w:val="baseline"/>
        <w:rPr>
          <w:rFonts w:hint="eastAsia" w:ascii="黑体" w:hAnsi="黑体" w:eastAsia="黑体" w:cs="黑体"/>
          <w:b w:val="0"/>
          <w:bCs w:val="0"/>
          <w:sz w:val="20"/>
          <w:szCs w:val="20"/>
          <w:highlight w:val="none"/>
          <w:lang w:val="en-US" w:eastAsia="zh-CN"/>
        </w:rPr>
      </w:pPr>
    </w:p>
    <w:p w14:paraId="3725BC27">
      <w:pPr>
        <w:pStyle w:val="8"/>
        <w:keepNext w:val="0"/>
        <w:keepLines w:val="0"/>
        <w:pageBreakBefore w:val="0"/>
        <w:widowControl w:val="0"/>
        <w:kinsoku/>
        <w:wordWrap/>
        <w:overflowPunct/>
        <w:topLinePunct w:val="0"/>
        <w:autoSpaceDE/>
        <w:autoSpaceDN/>
        <w:bidi w:val="0"/>
        <w:adjustRightInd/>
        <w:snapToGrid/>
        <w:spacing w:line="0" w:lineRule="atLeast"/>
        <w:ind w:left="0" w:leftChars="0" w:firstLine="0" w:firstLineChars="0"/>
        <w:jc w:val="left"/>
        <w:textAlignment w:val="baseline"/>
        <w:rPr>
          <w:rFonts w:hint="eastAsia" w:ascii="黑体" w:hAnsi="黑体" w:eastAsia="黑体" w:cs="黑体"/>
          <w:b w:val="0"/>
          <w:bCs w:val="0"/>
          <w:sz w:val="20"/>
          <w:szCs w:val="20"/>
          <w:highlight w:val="none"/>
          <w:lang w:val="en-US" w:eastAsia="zh-CN"/>
        </w:rPr>
      </w:pPr>
    </w:p>
    <w:p w14:paraId="782E338E">
      <w:pPr>
        <w:pStyle w:val="8"/>
        <w:keepNext w:val="0"/>
        <w:keepLines w:val="0"/>
        <w:pageBreakBefore w:val="0"/>
        <w:widowControl w:val="0"/>
        <w:kinsoku/>
        <w:wordWrap/>
        <w:overflowPunct/>
        <w:topLinePunct w:val="0"/>
        <w:autoSpaceDE/>
        <w:autoSpaceDN/>
        <w:bidi w:val="0"/>
        <w:adjustRightInd/>
        <w:snapToGrid/>
        <w:spacing w:line="0" w:lineRule="atLeast"/>
        <w:ind w:left="0" w:leftChars="0" w:firstLine="0" w:firstLineChars="0"/>
        <w:jc w:val="left"/>
        <w:textAlignment w:val="baseline"/>
        <w:rPr>
          <w:rFonts w:hint="eastAsia" w:ascii="黑体" w:hAnsi="黑体" w:eastAsia="黑体" w:cs="黑体"/>
          <w:b w:val="0"/>
          <w:bCs w:val="0"/>
          <w:sz w:val="20"/>
          <w:szCs w:val="20"/>
          <w:highlight w:val="none"/>
          <w:lang w:val="en-US" w:eastAsia="zh-CN"/>
        </w:rPr>
      </w:pPr>
    </w:p>
    <w:tbl>
      <w:tblPr>
        <w:tblStyle w:val="5"/>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60"/>
        <w:gridCol w:w="1339"/>
        <w:gridCol w:w="8804"/>
        <w:gridCol w:w="888"/>
        <w:gridCol w:w="1381"/>
      </w:tblGrid>
      <w:tr w14:paraId="43EA6A6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1" w:hRule="atLeast"/>
        </w:trPr>
        <w:tc>
          <w:tcPr>
            <w:tcW w:w="560" w:type="dxa"/>
            <w:tcBorders>
              <w:tl2br w:val="nil"/>
              <w:tr2bl w:val="nil"/>
            </w:tcBorders>
            <w:noWrap w:val="0"/>
            <w:vAlign w:val="center"/>
          </w:tcPr>
          <w:p w14:paraId="007D58A4">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黑体" w:hAnsi="黑体" w:eastAsia="黑体" w:cs="黑体"/>
                <w:sz w:val="21"/>
                <w:szCs w:val="21"/>
                <w:highlight w:val="none"/>
                <w:vertAlign w:val="baseline"/>
                <w:lang w:val="en-US" w:eastAsia="zh-CN"/>
              </w:rPr>
            </w:pPr>
            <w:r>
              <w:rPr>
                <w:rFonts w:hint="eastAsia" w:ascii="黑体" w:hAnsi="黑体" w:eastAsia="黑体" w:cs="黑体"/>
                <w:sz w:val="21"/>
                <w:szCs w:val="21"/>
                <w:highlight w:val="none"/>
                <w:lang w:val="en-US" w:eastAsia="zh-CN"/>
              </w:rPr>
              <w:t>序号</w:t>
            </w:r>
            <w:r>
              <w:rPr>
                <w:rFonts w:hint="eastAsia" w:ascii="黑体" w:hAnsi="黑体" w:eastAsia="黑体" w:cs="黑体"/>
                <w:sz w:val="21"/>
                <w:szCs w:val="21"/>
                <w:highlight w:val="none"/>
                <w:lang w:val="en-US" w:eastAsia="zh-CN"/>
              </w:rPr>
              <w:br w:type="page"/>
            </w:r>
          </w:p>
        </w:tc>
        <w:tc>
          <w:tcPr>
            <w:tcW w:w="1339" w:type="dxa"/>
            <w:tcBorders>
              <w:tl2br w:val="nil"/>
              <w:tr2bl w:val="nil"/>
            </w:tcBorders>
            <w:noWrap w:val="0"/>
            <w:vAlign w:val="center"/>
          </w:tcPr>
          <w:p w14:paraId="45A0A92A">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黑体" w:hAnsi="黑体" w:eastAsia="黑体" w:cs="黑体"/>
                <w:sz w:val="21"/>
                <w:szCs w:val="21"/>
                <w:highlight w:val="none"/>
                <w:vertAlign w:val="baseline"/>
                <w:lang w:val="en-US" w:eastAsia="zh-CN"/>
              </w:rPr>
            </w:pPr>
            <w:r>
              <w:rPr>
                <w:rFonts w:hint="eastAsia" w:ascii="黑体" w:hAnsi="黑体" w:eastAsia="黑体" w:cs="黑体"/>
                <w:sz w:val="21"/>
                <w:szCs w:val="21"/>
                <w:highlight w:val="none"/>
                <w:vertAlign w:val="baseline"/>
                <w:lang w:val="en-US" w:eastAsia="zh-CN"/>
              </w:rPr>
              <w:t>服务项目</w:t>
            </w:r>
          </w:p>
        </w:tc>
        <w:tc>
          <w:tcPr>
            <w:tcW w:w="8804" w:type="dxa"/>
            <w:tcBorders>
              <w:tl2br w:val="nil"/>
              <w:tr2bl w:val="nil"/>
            </w:tcBorders>
            <w:noWrap w:val="0"/>
            <w:vAlign w:val="center"/>
          </w:tcPr>
          <w:p w14:paraId="4A3994BE">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黑体" w:hAnsi="黑体" w:eastAsia="黑体" w:cs="黑体"/>
                <w:sz w:val="21"/>
                <w:szCs w:val="21"/>
                <w:highlight w:val="none"/>
                <w:vertAlign w:val="baseline"/>
                <w:lang w:val="en-US" w:eastAsia="zh-CN"/>
              </w:rPr>
            </w:pPr>
            <w:r>
              <w:rPr>
                <w:rFonts w:hint="eastAsia" w:ascii="黑体" w:hAnsi="黑体" w:eastAsia="黑体" w:cs="黑体"/>
                <w:sz w:val="21"/>
                <w:szCs w:val="21"/>
                <w:highlight w:val="none"/>
                <w:vertAlign w:val="baseline"/>
                <w:lang w:val="en-US" w:eastAsia="zh-CN"/>
              </w:rPr>
              <w:t>服务内容及标准</w:t>
            </w:r>
          </w:p>
        </w:tc>
        <w:tc>
          <w:tcPr>
            <w:tcW w:w="888" w:type="dxa"/>
            <w:tcBorders>
              <w:tl2br w:val="nil"/>
              <w:tr2bl w:val="nil"/>
            </w:tcBorders>
            <w:noWrap w:val="0"/>
            <w:vAlign w:val="center"/>
          </w:tcPr>
          <w:p w14:paraId="61B3E776">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黑体" w:hAnsi="黑体" w:eastAsia="黑体" w:cs="黑体"/>
                <w:sz w:val="21"/>
                <w:szCs w:val="21"/>
                <w:highlight w:val="none"/>
                <w:vertAlign w:val="baseline"/>
                <w:lang w:val="en-US" w:eastAsia="zh-CN"/>
              </w:rPr>
            </w:pPr>
            <w:r>
              <w:rPr>
                <w:rFonts w:hint="eastAsia" w:ascii="黑体" w:hAnsi="黑体" w:eastAsia="黑体" w:cs="黑体"/>
                <w:sz w:val="21"/>
                <w:szCs w:val="21"/>
                <w:highlight w:val="none"/>
                <w:vertAlign w:val="baseline"/>
                <w:lang w:val="en-US" w:eastAsia="zh-CN"/>
              </w:rPr>
              <w:t>计价</w:t>
            </w:r>
          </w:p>
          <w:p w14:paraId="1ACC394E">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黑体" w:hAnsi="黑体" w:eastAsia="黑体" w:cs="黑体"/>
                <w:sz w:val="21"/>
                <w:szCs w:val="21"/>
                <w:highlight w:val="none"/>
                <w:vertAlign w:val="baseline"/>
                <w:lang w:val="en-US" w:eastAsia="zh-CN"/>
              </w:rPr>
            </w:pPr>
            <w:r>
              <w:rPr>
                <w:rFonts w:hint="eastAsia" w:ascii="黑体" w:hAnsi="黑体" w:eastAsia="黑体" w:cs="黑体"/>
                <w:sz w:val="21"/>
                <w:szCs w:val="21"/>
                <w:highlight w:val="none"/>
                <w:vertAlign w:val="baseline"/>
                <w:lang w:val="en-US" w:eastAsia="zh-CN"/>
              </w:rPr>
              <w:t>方式</w:t>
            </w:r>
          </w:p>
        </w:tc>
        <w:tc>
          <w:tcPr>
            <w:tcW w:w="1381" w:type="dxa"/>
            <w:tcBorders>
              <w:tl2br w:val="nil"/>
              <w:tr2bl w:val="nil"/>
            </w:tcBorders>
            <w:noWrap w:val="0"/>
            <w:vAlign w:val="center"/>
          </w:tcPr>
          <w:p w14:paraId="1959A722">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黑体" w:hAnsi="黑体" w:eastAsia="黑体" w:cs="黑体"/>
                <w:sz w:val="21"/>
                <w:szCs w:val="21"/>
                <w:highlight w:val="none"/>
                <w:vertAlign w:val="baseline"/>
                <w:lang w:val="en-US" w:eastAsia="zh-CN"/>
              </w:rPr>
            </w:pPr>
            <w:r>
              <w:rPr>
                <w:rFonts w:hint="eastAsia" w:ascii="黑体" w:hAnsi="黑体" w:eastAsia="黑体" w:cs="黑体"/>
                <w:sz w:val="21"/>
                <w:szCs w:val="21"/>
                <w:highlight w:val="none"/>
                <w:vertAlign w:val="baseline"/>
                <w:lang w:val="en-US" w:eastAsia="zh-CN"/>
              </w:rPr>
              <w:t>收费管理</w:t>
            </w:r>
          </w:p>
          <w:p w14:paraId="1D7F80F8">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黑体" w:hAnsi="黑体" w:eastAsia="黑体" w:cs="黑体"/>
                <w:sz w:val="21"/>
                <w:szCs w:val="21"/>
                <w:highlight w:val="none"/>
                <w:vertAlign w:val="baseline"/>
                <w:lang w:val="en-US" w:eastAsia="zh-CN"/>
              </w:rPr>
            </w:pPr>
            <w:r>
              <w:rPr>
                <w:rFonts w:hint="eastAsia" w:ascii="黑体" w:hAnsi="黑体" w:eastAsia="黑体" w:cs="黑体"/>
                <w:sz w:val="21"/>
                <w:szCs w:val="21"/>
                <w:highlight w:val="none"/>
                <w:vertAlign w:val="baseline"/>
                <w:lang w:val="en-US" w:eastAsia="zh-CN"/>
              </w:rPr>
              <w:t>方式</w:t>
            </w:r>
          </w:p>
        </w:tc>
      </w:tr>
      <w:tr w14:paraId="28950F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560" w:type="dxa"/>
            <w:tcBorders>
              <w:tl2br w:val="nil"/>
              <w:tr2bl w:val="nil"/>
            </w:tcBorders>
            <w:noWrap w:val="0"/>
            <w:vAlign w:val="center"/>
          </w:tcPr>
          <w:p w14:paraId="73E489E8">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kern w:val="2"/>
                <w:sz w:val="21"/>
                <w:szCs w:val="21"/>
                <w:highlight w:val="none"/>
                <w:vertAlign w:val="baseline"/>
                <w:lang w:val="en-US" w:eastAsia="zh-CN" w:bidi="ar-SA"/>
              </w:rPr>
            </w:pPr>
            <w:r>
              <w:rPr>
                <w:rFonts w:hint="eastAsia" w:ascii="仿宋_GB2312" w:hAnsi="仿宋_GB2312" w:eastAsia="仿宋_GB2312" w:cs="仿宋_GB2312"/>
                <w:sz w:val="21"/>
                <w:szCs w:val="21"/>
                <w:highlight w:val="none"/>
                <w:vertAlign w:val="baseline"/>
                <w:lang w:val="en-US" w:eastAsia="zh-CN"/>
              </w:rPr>
              <w:t>16</w:t>
            </w:r>
          </w:p>
        </w:tc>
        <w:tc>
          <w:tcPr>
            <w:tcW w:w="1339" w:type="dxa"/>
            <w:tcBorders>
              <w:tl2br w:val="nil"/>
              <w:tr2bl w:val="nil"/>
            </w:tcBorders>
            <w:noWrap w:val="0"/>
            <w:vAlign w:val="center"/>
          </w:tcPr>
          <w:p w14:paraId="69B5C925">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kern w:val="2"/>
                <w:sz w:val="21"/>
                <w:szCs w:val="21"/>
                <w:highlight w:val="none"/>
                <w:vertAlign w:val="baseline"/>
                <w:lang w:val="en-US" w:eastAsia="zh-CN" w:bidi="ar-SA"/>
              </w:rPr>
            </w:pPr>
            <w:r>
              <w:rPr>
                <w:rFonts w:hint="eastAsia" w:ascii="仿宋_GB2312" w:hAnsi="仿宋_GB2312" w:eastAsia="仿宋_GB2312" w:cs="仿宋_GB2312"/>
                <w:sz w:val="21"/>
                <w:szCs w:val="21"/>
                <w:highlight w:val="none"/>
                <w:vertAlign w:val="baseline"/>
                <w:lang w:val="en-US" w:eastAsia="zh-CN"/>
              </w:rPr>
              <w:t>代祭祀服务</w:t>
            </w:r>
          </w:p>
        </w:tc>
        <w:tc>
          <w:tcPr>
            <w:tcW w:w="8804" w:type="dxa"/>
            <w:tcBorders>
              <w:tl2br w:val="nil"/>
              <w:tr2bl w:val="nil"/>
            </w:tcBorders>
            <w:noWrap w:val="0"/>
            <w:vAlign w:val="center"/>
          </w:tcPr>
          <w:p w14:paraId="7C76D377">
            <w:pPr>
              <w:pStyle w:val="8"/>
              <w:keepNext w:val="0"/>
              <w:keepLines w:val="0"/>
              <w:pageBreakBefore w:val="0"/>
              <w:widowControl w:val="0"/>
              <w:kinsoku/>
              <w:wordWrap/>
              <w:overflowPunct/>
              <w:topLinePunct w:val="0"/>
              <w:autoSpaceDE/>
              <w:autoSpaceDN/>
              <w:bidi w:val="0"/>
              <w:adjustRightInd/>
              <w:snapToGrid/>
              <w:spacing w:line="0" w:lineRule="atLeast"/>
              <w:ind w:firstLine="420" w:firstLineChars="200"/>
              <w:jc w:val="left"/>
              <w:textAlignment w:val="baseline"/>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为不能到现场祭祀的群众提供代祭祀服务，包括但不限于鲜花、蜡烛、供台等祭祀用品，也可为群众代买黄纸、元宝等祭祀用品并提供支付证明，祭祀全程可视频或提供录像。</w:t>
            </w:r>
          </w:p>
          <w:p w14:paraId="59B22C6A">
            <w:pPr>
              <w:pStyle w:val="8"/>
              <w:keepNext w:val="0"/>
              <w:keepLines w:val="0"/>
              <w:pageBreakBefore w:val="0"/>
              <w:widowControl w:val="0"/>
              <w:kinsoku/>
              <w:wordWrap/>
              <w:overflowPunct/>
              <w:topLinePunct w:val="0"/>
              <w:autoSpaceDE/>
              <w:autoSpaceDN/>
              <w:bidi w:val="0"/>
              <w:adjustRightInd/>
              <w:snapToGrid/>
              <w:spacing w:line="0" w:lineRule="atLeast"/>
              <w:ind w:firstLine="420" w:firstLineChars="200"/>
              <w:jc w:val="left"/>
              <w:textAlignment w:val="baseline"/>
              <w:rPr>
                <w:rFonts w:hint="default" w:ascii="仿宋_GB2312" w:hAnsi="仿宋_GB2312" w:eastAsia="仿宋_GB2312" w:cs="仿宋_GB2312"/>
                <w:kern w:val="2"/>
                <w:sz w:val="21"/>
                <w:szCs w:val="21"/>
                <w:highlight w:val="none"/>
                <w:vertAlign w:val="baseline"/>
                <w:lang w:val="en-US" w:eastAsia="zh-CN" w:bidi="ar-SA"/>
              </w:rPr>
            </w:pPr>
            <w:r>
              <w:rPr>
                <w:rFonts w:hint="eastAsia" w:ascii="仿宋_GB2312" w:hAnsi="仿宋_GB2312" w:eastAsia="仿宋_GB2312" w:cs="仿宋_GB2312"/>
                <w:sz w:val="21"/>
                <w:szCs w:val="21"/>
                <w:highlight w:val="none"/>
                <w:vertAlign w:val="baseline"/>
                <w:lang w:val="en-US" w:eastAsia="zh-CN"/>
              </w:rPr>
              <w:t>按次收费。以完成祭祀标准服务流程计费。</w:t>
            </w:r>
          </w:p>
        </w:tc>
        <w:tc>
          <w:tcPr>
            <w:tcW w:w="888" w:type="dxa"/>
            <w:tcBorders>
              <w:tl2br w:val="nil"/>
              <w:tr2bl w:val="nil"/>
            </w:tcBorders>
            <w:noWrap w:val="0"/>
            <w:vAlign w:val="center"/>
          </w:tcPr>
          <w:p w14:paraId="1D1DCC6C">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w w:val="75"/>
                <w:kern w:val="2"/>
                <w:sz w:val="21"/>
                <w:szCs w:val="21"/>
                <w:highlight w:val="none"/>
                <w:vertAlign w:val="baseline"/>
                <w:lang w:val="en-US" w:eastAsia="zh-CN" w:bidi="ar-SA"/>
              </w:rPr>
            </w:pPr>
            <w:r>
              <w:rPr>
                <w:rFonts w:hint="default" w:ascii="仿宋_GB2312" w:hAnsi="仿宋_GB2312" w:eastAsia="仿宋_GB2312" w:cs="仿宋_GB2312"/>
                <w:sz w:val="21"/>
                <w:szCs w:val="21"/>
                <w:highlight w:val="none"/>
                <w:vertAlign w:val="baseline"/>
                <w:lang w:val="en-US" w:eastAsia="zh-CN"/>
              </w:rPr>
              <w:t>元/次</w:t>
            </w:r>
          </w:p>
        </w:tc>
        <w:tc>
          <w:tcPr>
            <w:tcW w:w="1381" w:type="dxa"/>
            <w:tcBorders>
              <w:tl2br w:val="nil"/>
              <w:tr2bl w:val="nil"/>
            </w:tcBorders>
            <w:noWrap w:val="0"/>
            <w:vAlign w:val="center"/>
          </w:tcPr>
          <w:p w14:paraId="23E1040C">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b w:val="0"/>
                <w:bCs w:val="0"/>
                <w:kern w:val="2"/>
                <w:sz w:val="21"/>
                <w:szCs w:val="21"/>
                <w:highlight w:val="none"/>
                <w:u w:val="none"/>
                <w:vertAlign w:val="baseline"/>
                <w:lang w:val="en-US" w:eastAsia="zh-CN" w:bidi="ar-SA"/>
              </w:rPr>
              <w:t>市场</w:t>
            </w:r>
            <w:r>
              <w:rPr>
                <w:rFonts w:hint="eastAsia" w:ascii="仿宋_GB2312" w:hAnsi="仿宋_GB2312" w:eastAsia="仿宋_GB2312" w:cs="仿宋_GB2312"/>
                <w:sz w:val="21"/>
                <w:szCs w:val="21"/>
                <w:highlight w:val="none"/>
                <w:vertAlign w:val="baseline"/>
                <w:lang w:val="en-US" w:eastAsia="zh-CN"/>
              </w:rPr>
              <w:t>调节价</w:t>
            </w:r>
          </w:p>
        </w:tc>
      </w:tr>
      <w:tr w14:paraId="0472B1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560" w:type="dxa"/>
            <w:tcBorders>
              <w:tl2br w:val="nil"/>
              <w:tr2bl w:val="nil"/>
            </w:tcBorders>
            <w:noWrap w:val="0"/>
            <w:vAlign w:val="center"/>
          </w:tcPr>
          <w:p w14:paraId="43BCA589">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kern w:val="2"/>
                <w:sz w:val="21"/>
                <w:szCs w:val="21"/>
                <w:highlight w:val="none"/>
                <w:vertAlign w:val="baseline"/>
                <w:lang w:val="en-US" w:eastAsia="zh-CN" w:bidi="ar-SA"/>
              </w:rPr>
            </w:pPr>
            <w:r>
              <w:rPr>
                <w:rFonts w:hint="eastAsia" w:ascii="仿宋_GB2312" w:hAnsi="仿宋_GB2312" w:eastAsia="仿宋_GB2312" w:cs="仿宋_GB2312"/>
                <w:sz w:val="21"/>
                <w:szCs w:val="21"/>
                <w:highlight w:val="none"/>
                <w:vertAlign w:val="baseline"/>
                <w:lang w:val="en-US" w:eastAsia="zh-CN"/>
              </w:rPr>
              <w:t>17</w:t>
            </w:r>
          </w:p>
        </w:tc>
        <w:tc>
          <w:tcPr>
            <w:tcW w:w="1339" w:type="dxa"/>
            <w:tcBorders>
              <w:tl2br w:val="nil"/>
              <w:tr2bl w:val="nil"/>
            </w:tcBorders>
            <w:noWrap w:val="0"/>
            <w:vAlign w:val="center"/>
          </w:tcPr>
          <w:p w14:paraId="4E49CD25">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骨灰瞻仰</w:t>
            </w:r>
          </w:p>
          <w:p w14:paraId="077FD7C8">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kern w:val="2"/>
                <w:sz w:val="21"/>
                <w:szCs w:val="21"/>
                <w:highlight w:val="none"/>
                <w:vertAlign w:val="baseline"/>
                <w:lang w:val="en-US" w:eastAsia="zh-CN" w:bidi="ar-SA"/>
              </w:rPr>
            </w:pPr>
            <w:r>
              <w:rPr>
                <w:rFonts w:hint="eastAsia" w:ascii="仿宋_GB2312" w:hAnsi="仿宋_GB2312" w:eastAsia="仿宋_GB2312" w:cs="仿宋_GB2312"/>
                <w:sz w:val="21"/>
                <w:szCs w:val="21"/>
                <w:highlight w:val="none"/>
                <w:vertAlign w:val="baseline"/>
                <w:lang w:val="en-US" w:eastAsia="zh-CN"/>
              </w:rPr>
              <w:t>服务</w:t>
            </w:r>
          </w:p>
        </w:tc>
        <w:tc>
          <w:tcPr>
            <w:tcW w:w="8804" w:type="dxa"/>
            <w:tcBorders>
              <w:tl2br w:val="nil"/>
              <w:tr2bl w:val="nil"/>
            </w:tcBorders>
            <w:noWrap w:val="0"/>
            <w:vAlign w:val="center"/>
          </w:tcPr>
          <w:p w14:paraId="420C7509">
            <w:pPr>
              <w:pStyle w:val="8"/>
              <w:keepNext w:val="0"/>
              <w:keepLines w:val="0"/>
              <w:pageBreakBefore w:val="0"/>
              <w:widowControl w:val="0"/>
              <w:kinsoku/>
              <w:wordWrap/>
              <w:overflowPunct/>
              <w:topLinePunct w:val="0"/>
              <w:autoSpaceDE/>
              <w:autoSpaceDN/>
              <w:bidi w:val="0"/>
              <w:adjustRightInd/>
              <w:snapToGrid/>
              <w:spacing w:line="0" w:lineRule="atLeast"/>
              <w:ind w:firstLine="420" w:firstLineChars="200"/>
              <w:jc w:val="left"/>
              <w:textAlignment w:val="baseline"/>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在工作时间，为寄存骨灰的丧属随</w:t>
            </w:r>
            <w:r>
              <w:rPr>
                <w:rFonts w:hint="eastAsia" w:ascii="仿宋_GB2312" w:hAnsi="仿宋_GB2312" w:eastAsia="仿宋_GB2312" w:cs="仿宋_GB2312"/>
                <w:b w:val="0"/>
                <w:bCs w:val="0"/>
                <w:sz w:val="21"/>
                <w:szCs w:val="21"/>
                <w:highlight w:val="none"/>
                <w:u w:val="none"/>
                <w:vertAlign w:val="baseline"/>
                <w:lang w:val="en-US" w:eastAsia="zh-CN"/>
              </w:rPr>
              <w:t>时提供瞻仰服务，有条件的殡仪服务机构应提供包括但不限于场地及供台、绢花、</w:t>
            </w:r>
            <w:r>
              <w:rPr>
                <w:rFonts w:hint="eastAsia" w:ascii="仿宋_GB2312" w:hAnsi="仿宋_GB2312" w:eastAsia="仿宋_GB2312" w:cs="仿宋_GB2312"/>
                <w:sz w:val="21"/>
                <w:szCs w:val="21"/>
                <w:highlight w:val="none"/>
                <w:vertAlign w:val="baseline"/>
                <w:lang w:val="en-US" w:eastAsia="zh-CN"/>
              </w:rPr>
              <w:t>花圈等基础服务。</w:t>
            </w:r>
          </w:p>
          <w:p w14:paraId="3556ECB8">
            <w:pPr>
              <w:pStyle w:val="8"/>
              <w:keepNext w:val="0"/>
              <w:keepLines w:val="0"/>
              <w:pageBreakBefore w:val="0"/>
              <w:widowControl w:val="0"/>
              <w:kinsoku/>
              <w:wordWrap/>
              <w:overflowPunct/>
              <w:topLinePunct w:val="0"/>
              <w:autoSpaceDE/>
              <w:autoSpaceDN/>
              <w:bidi w:val="0"/>
              <w:adjustRightInd/>
              <w:snapToGrid/>
              <w:spacing w:line="0" w:lineRule="atLeast"/>
              <w:ind w:firstLine="420" w:firstLineChars="200"/>
              <w:jc w:val="left"/>
              <w:textAlignment w:val="baseline"/>
              <w:rPr>
                <w:rFonts w:hint="eastAsia" w:ascii="仿宋_GB2312" w:hAnsi="仿宋_GB2312" w:eastAsia="仿宋_GB2312" w:cs="仿宋_GB2312"/>
                <w:kern w:val="2"/>
                <w:sz w:val="21"/>
                <w:szCs w:val="21"/>
                <w:highlight w:val="none"/>
                <w:vertAlign w:val="baseline"/>
                <w:lang w:val="en-US" w:eastAsia="zh-CN" w:bidi="ar-SA"/>
              </w:rPr>
            </w:pPr>
            <w:r>
              <w:rPr>
                <w:rFonts w:hint="eastAsia" w:ascii="仿宋_GB2312" w:hAnsi="仿宋_GB2312" w:eastAsia="仿宋_GB2312" w:cs="仿宋_GB2312"/>
                <w:sz w:val="21"/>
                <w:szCs w:val="21"/>
                <w:highlight w:val="none"/>
                <w:vertAlign w:val="baseline"/>
                <w:lang w:val="en-US" w:eastAsia="zh-CN"/>
              </w:rPr>
              <w:t>按次收费。以保证丧属完成瞻仰流程计费。</w:t>
            </w:r>
          </w:p>
        </w:tc>
        <w:tc>
          <w:tcPr>
            <w:tcW w:w="888" w:type="dxa"/>
            <w:tcBorders>
              <w:tl2br w:val="nil"/>
              <w:tr2bl w:val="nil"/>
            </w:tcBorders>
            <w:noWrap w:val="0"/>
            <w:vAlign w:val="center"/>
          </w:tcPr>
          <w:p w14:paraId="4B6C1E27">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b w:val="0"/>
                <w:bCs w:val="0"/>
                <w:kern w:val="2"/>
                <w:sz w:val="21"/>
                <w:szCs w:val="21"/>
                <w:highlight w:val="none"/>
                <w:u w:val="none"/>
                <w:vertAlign w:val="baseline"/>
                <w:lang w:val="en-US" w:eastAsia="zh-CN" w:bidi="ar-SA"/>
              </w:rPr>
            </w:pPr>
            <w:r>
              <w:rPr>
                <w:rFonts w:hint="default" w:ascii="仿宋_GB2312" w:hAnsi="仿宋_GB2312" w:eastAsia="仿宋_GB2312" w:cs="仿宋_GB2312"/>
                <w:b w:val="0"/>
                <w:bCs w:val="0"/>
                <w:kern w:val="2"/>
                <w:sz w:val="21"/>
                <w:szCs w:val="21"/>
                <w:highlight w:val="none"/>
                <w:u w:val="none"/>
                <w:vertAlign w:val="baseline"/>
                <w:lang w:val="en-US" w:eastAsia="zh-CN" w:bidi="ar-SA"/>
              </w:rPr>
              <w:t>元/次</w:t>
            </w:r>
          </w:p>
        </w:tc>
        <w:tc>
          <w:tcPr>
            <w:tcW w:w="1381" w:type="dxa"/>
            <w:tcBorders>
              <w:tl2br w:val="nil"/>
              <w:tr2bl w:val="nil"/>
            </w:tcBorders>
            <w:noWrap w:val="0"/>
            <w:vAlign w:val="center"/>
          </w:tcPr>
          <w:p w14:paraId="64522BB5">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b w:val="0"/>
                <w:bCs w:val="0"/>
                <w:kern w:val="2"/>
                <w:sz w:val="21"/>
                <w:szCs w:val="21"/>
                <w:highlight w:val="none"/>
                <w:u w:val="none"/>
                <w:vertAlign w:val="baseline"/>
                <w:lang w:val="en-US" w:eastAsia="zh-CN" w:bidi="ar-SA"/>
              </w:rPr>
              <w:t>市场</w:t>
            </w:r>
            <w:r>
              <w:rPr>
                <w:rFonts w:hint="eastAsia" w:ascii="仿宋_GB2312" w:hAnsi="仿宋_GB2312" w:eastAsia="仿宋_GB2312" w:cs="仿宋_GB2312"/>
                <w:sz w:val="21"/>
                <w:szCs w:val="21"/>
                <w:highlight w:val="none"/>
                <w:vertAlign w:val="baseline"/>
                <w:lang w:val="en-US" w:eastAsia="zh-CN"/>
              </w:rPr>
              <w:t>调节价</w:t>
            </w:r>
          </w:p>
        </w:tc>
      </w:tr>
      <w:tr w14:paraId="5DA5458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560" w:type="dxa"/>
            <w:tcBorders>
              <w:tl2br w:val="nil"/>
              <w:tr2bl w:val="nil"/>
            </w:tcBorders>
            <w:noWrap w:val="0"/>
            <w:vAlign w:val="center"/>
          </w:tcPr>
          <w:p w14:paraId="08D31F4C">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kern w:val="2"/>
                <w:sz w:val="21"/>
                <w:szCs w:val="21"/>
                <w:highlight w:val="none"/>
                <w:vertAlign w:val="baseline"/>
                <w:lang w:val="en-US" w:eastAsia="zh-CN" w:bidi="ar-SA"/>
              </w:rPr>
            </w:pPr>
            <w:r>
              <w:rPr>
                <w:rFonts w:hint="eastAsia" w:ascii="仿宋_GB2312" w:hAnsi="仿宋_GB2312" w:eastAsia="仿宋_GB2312" w:cs="仿宋_GB2312"/>
                <w:sz w:val="21"/>
                <w:szCs w:val="21"/>
                <w:highlight w:val="none"/>
                <w:vertAlign w:val="baseline"/>
                <w:lang w:val="en-US" w:eastAsia="zh-CN"/>
              </w:rPr>
              <w:t>18</w:t>
            </w:r>
          </w:p>
        </w:tc>
        <w:tc>
          <w:tcPr>
            <w:tcW w:w="1339" w:type="dxa"/>
            <w:tcBorders>
              <w:tl2br w:val="nil"/>
              <w:tr2bl w:val="nil"/>
            </w:tcBorders>
            <w:noWrap w:val="0"/>
            <w:vAlign w:val="center"/>
          </w:tcPr>
          <w:p w14:paraId="5B8D83BE">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kern w:val="2"/>
                <w:sz w:val="21"/>
                <w:szCs w:val="21"/>
                <w:highlight w:val="none"/>
                <w:vertAlign w:val="baseline"/>
                <w:lang w:val="en-US" w:eastAsia="zh-CN" w:bidi="ar-SA"/>
              </w:rPr>
            </w:pPr>
            <w:r>
              <w:rPr>
                <w:rFonts w:hint="eastAsia" w:ascii="仿宋_GB2312" w:hAnsi="仿宋_GB2312" w:eastAsia="仿宋_GB2312" w:cs="仿宋_GB2312"/>
                <w:sz w:val="21"/>
                <w:szCs w:val="21"/>
                <w:highlight w:val="none"/>
                <w:vertAlign w:val="baseline"/>
                <w:lang w:val="en-US" w:eastAsia="zh-CN"/>
              </w:rPr>
              <w:t>焚烧场单间祭祀服务</w:t>
            </w:r>
          </w:p>
        </w:tc>
        <w:tc>
          <w:tcPr>
            <w:tcW w:w="8804" w:type="dxa"/>
            <w:tcBorders>
              <w:tl2br w:val="nil"/>
              <w:tr2bl w:val="nil"/>
            </w:tcBorders>
            <w:noWrap w:val="0"/>
            <w:vAlign w:val="center"/>
          </w:tcPr>
          <w:p w14:paraId="5AE4C3ED">
            <w:pPr>
              <w:pStyle w:val="8"/>
              <w:keepNext w:val="0"/>
              <w:keepLines w:val="0"/>
              <w:pageBreakBefore w:val="0"/>
              <w:widowControl w:val="0"/>
              <w:kinsoku/>
              <w:wordWrap/>
              <w:overflowPunct/>
              <w:topLinePunct w:val="0"/>
              <w:autoSpaceDE/>
              <w:autoSpaceDN/>
              <w:bidi w:val="0"/>
              <w:adjustRightInd/>
              <w:snapToGrid/>
              <w:spacing w:line="0" w:lineRule="atLeast"/>
              <w:ind w:firstLine="420" w:firstLineChars="200"/>
              <w:jc w:val="left"/>
              <w:textAlignment w:val="baseline"/>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sz w:val="21"/>
                <w:szCs w:val="21"/>
                <w:highlight w:val="none"/>
                <w:vertAlign w:val="baseline"/>
                <w:lang w:val="en-US" w:eastAsia="zh-CN"/>
              </w:rPr>
              <w:t>在焚烧场为家属提供单间祭祀服务，包括但不限于提供逝者灵位牌、供品摆放，逝者遗物、祭祀用品焚烧及消防安全、灰烬处理、污染气体处理等基础服务。</w:t>
            </w:r>
          </w:p>
          <w:p w14:paraId="312BDF0B">
            <w:pPr>
              <w:pStyle w:val="8"/>
              <w:keepNext w:val="0"/>
              <w:keepLines w:val="0"/>
              <w:pageBreakBefore w:val="0"/>
              <w:widowControl w:val="0"/>
              <w:kinsoku/>
              <w:wordWrap/>
              <w:overflowPunct/>
              <w:topLinePunct w:val="0"/>
              <w:autoSpaceDE/>
              <w:autoSpaceDN/>
              <w:bidi w:val="0"/>
              <w:adjustRightInd/>
              <w:snapToGrid/>
              <w:spacing w:line="0" w:lineRule="atLeast"/>
              <w:ind w:firstLine="420" w:firstLineChars="200"/>
              <w:jc w:val="left"/>
              <w:textAlignment w:val="baseline"/>
              <w:rPr>
                <w:rFonts w:hint="eastAsia" w:ascii="仿宋_GB2312" w:hAnsi="仿宋_GB2312" w:eastAsia="仿宋_GB2312" w:cs="仿宋_GB2312"/>
                <w:kern w:val="2"/>
                <w:sz w:val="21"/>
                <w:szCs w:val="21"/>
                <w:highlight w:val="none"/>
                <w:vertAlign w:val="baseline"/>
                <w:lang w:val="en-US" w:eastAsia="zh-CN" w:bidi="ar-SA"/>
              </w:rPr>
            </w:pPr>
            <w:r>
              <w:rPr>
                <w:rFonts w:hint="eastAsia" w:ascii="仿宋_GB2312" w:hAnsi="仿宋_GB2312" w:eastAsia="仿宋_GB2312" w:cs="仿宋_GB2312"/>
                <w:sz w:val="21"/>
                <w:szCs w:val="21"/>
                <w:highlight w:val="none"/>
                <w:vertAlign w:val="baseline"/>
                <w:lang w:val="en-US" w:eastAsia="zh-CN"/>
              </w:rPr>
              <w:t>按次收费。保证丧属一次性焚烧全部遗物计费。</w:t>
            </w:r>
          </w:p>
        </w:tc>
        <w:tc>
          <w:tcPr>
            <w:tcW w:w="888" w:type="dxa"/>
            <w:tcBorders>
              <w:tl2br w:val="nil"/>
              <w:tr2bl w:val="nil"/>
            </w:tcBorders>
            <w:noWrap w:val="0"/>
            <w:vAlign w:val="center"/>
          </w:tcPr>
          <w:p w14:paraId="3955FE89">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b w:val="0"/>
                <w:bCs w:val="0"/>
                <w:kern w:val="2"/>
                <w:sz w:val="21"/>
                <w:szCs w:val="21"/>
                <w:highlight w:val="none"/>
                <w:u w:val="none"/>
                <w:vertAlign w:val="baseline"/>
                <w:lang w:val="en-US" w:eastAsia="zh-CN" w:bidi="ar-SA"/>
              </w:rPr>
            </w:pPr>
            <w:r>
              <w:rPr>
                <w:rFonts w:hint="eastAsia" w:ascii="仿宋_GB2312" w:hAnsi="仿宋_GB2312" w:eastAsia="仿宋_GB2312" w:cs="仿宋_GB2312"/>
                <w:b w:val="0"/>
                <w:bCs w:val="0"/>
                <w:kern w:val="2"/>
                <w:sz w:val="21"/>
                <w:szCs w:val="21"/>
                <w:highlight w:val="none"/>
                <w:u w:val="none"/>
                <w:vertAlign w:val="baseline"/>
                <w:lang w:val="en-US" w:eastAsia="zh-CN" w:bidi="ar-SA"/>
              </w:rPr>
              <w:t>元/次</w:t>
            </w:r>
          </w:p>
        </w:tc>
        <w:tc>
          <w:tcPr>
            <w:tcW w:w="1381" w:type="dxa"/>
            <w:tcBorders>
              <w:tl2br w:val="nil"/>
              <w:tr2bl w:val="nil"/>
            </w:tcBorders>
            <w:noWrap w:val="0"/>
            <w:vAlign w:val="center"/>
          </w:tcPr>
          <w:p w14:paraId="0E3E9889">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b w:val="0"/>
                <w:bCs w:val="0"/>
                <w:kern w:val="2"/>
                <w:sz w:val="21"/>
                <w:szCs w:val="21"/>
                <w:highlight w:val="none"/>
                <w:u w:val="none"/>
                <w:vertAlign w:val="baseline"/>
                <w:lang w:val="en-US" w:eastAsia="zh-CN" w:bidi="ar-SA"/>
              </w:rPr>
              <w:t>市场</w:t>
            </w:r>
            <w:r>
              <w:rPr>
                <w:rFonts w:hint="eastAsia" w:ascii="仿宋_GB2312" w:hAnsi="仿宋_GB2312" w:eastAsia="仿宋_GB2312" w:cs="仿宋_GB2312"/>
                <w:sz w:val="21"/>
                <w:szCs w:val="21"/>
                <w:highlight w:val="none"/>
                <w:vertAlign w:val="baseline"/>
                <w:lang w:val="en-US" w:eastAsia="zh-CN"/>
              </w:rPr>
              <w:t>调节价</w:t>
            </w:r>
          </w:p>
        </w:tc>
      </w:tr>
      <w:tr w14:paraId="28D8933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560" w:type="dxa"/>
            <w:tcBorders>
              <w:tl2br w:val="nil"/>
              <w:tr2bl w:val="nil"/>
            </w:tcBorders>
            <w:noWrap w:val="0"/>
            <w:vAlign w:val="center"/>
          </w:tcPr>
          <w:p w14:paraId="1AAF0541">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b w:val="0"/>
                <w:bCs w:val="0"/>
                <w:kern w:val="2"/>
                <w:sz w:val="21"/>
                <w:szCs w:val="21"/>
                <w:highlight w:val="none"/>
                <w:u w:val="none"/>
                <w:vertAlign w:val="baseline"/>
                <w:lang w:val="en-US" w:eastAsia="zh-CN" w:bidi="ar-SA"/>
              </w:rPr>
            </w:pPr>
            <w:r>
              <w:rPr>
                <w:rFonts w:hint="eastAsia" w:ascii="仿宋_GB2312" w:hAnsi="仿宋_GB2312" w:eastAsia="仿宋_GB2312" w:cs="仿宋_GB2312"/>
                <w:b w:val="0"/>
                <w:bCs w:val="0"/>
                <w:sz w:val="21"/>
                <w:szCs w:val="21"/>
                <w:highlight w:val="none"/>
                <w:u w:val="none"/>
                <w:vertAlign w:val="baseline"/>
                <w:lang w:val="en-US" w:eastAsia="zh-CN"/>
              </w:rPr>
              <w:t>19</w:t>
            </w:r>
          </w:p>
        </w:tc>
        <w:tc>
          <w:tcPr>
            <w:tcW w:w="1339" w:type="dxa"/>
            <w:tcBorders>
              <w:tl2br w:val="nil"/>
              <w:tr2bl w:val="nil"/>
            </w:tcBorders>
            <w:noWrap w:val="0"/>
            <w:vAlign w:val="center"/>
          </w:tcPr>
          <w:p w14:paraId="6AFA7F37">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b w:val="0"/>
                <w:bCs w:val="0"/>
                <w:sz w:val="21"/>
                <w:szCs w:val="21"/>
                <w:highlight w:val="none"/>
                <w:u w:val="none"/>
                <w:vertAlign w:val="baseline"/>
                <w:lang w:val="en-US" w:eastAsia="zh-CN"/>
              </w:rPr>
            </w:pPr>
            <w:r>
              <w:rPr>
                <w:rFonts w:hint="default" w:ascii="仿宋_GB2312" w:hAnsi="仿宋_GB2312" w:eastAsia="仿宋_GB2312" w:cs="仿宋_GB2312"/>
                <w:b w:val="0"/>
                <w:bCs w:val="0"/>
                <w:sz w:val="21"/>
                <w:szCs w:val="21"/>
                <w:highlight w:val="none"/>
                <w:u w:val="none"/>
                <w:vertAlign w:val="baseline"/>
                <w:lang w:val="en-US" w:eastAsia="zh-CN"/>
              </w:rPr>
              <w:t>追思礼</w:t>
            </w:r>
          </w:p>
          <w:p w14:paraId="3CB62F48">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b w:val="0"/>
                <w:bCs w:val="0"/>
                <w:kern w:val="2"/>
                <w:sz w:val="21"/>
                <w:szCs w:val="21"/>
                <w:highlight w:val="none"/>
                <w:u w:val="none"/>
                <w:vertAlign w:val="baseline"/>
                <w:lang w:val="en-US" w:eastAsia="zh-CN" w:bidi="ar-SA"/>
              </w:rPr>
            </w:pPr>
            <w:r>
              <w:rPr>
                <w:rFonts w:hint="default" w:ascii="仿宋_GB2312" w:hAnsi="仿宋_GB2312" w:eastAsia="仿宋_GB2312" w:cs="仿宋_GB2312"/>
                <w:b w:val="0"/>
                <w:bCs w:val="0"/>
                <w:sz w:val="21"/>
                <w:szCs w:val="21"/>
                <w:highlight w:val="none"/>
                <w:u w:val="none"/>
                <w:vertAlign w:val="baseline"/>
                <w:lang w:val="en-US" w:eastAsia="zh-CN"/>
              </w:rPr>
              <w:t>服务</w:t>
            </w:r>
          </w:p>
        </w:tc>
        <w:tc>
          <w:tcPr>
            <w:tcW w:w="8804" w:type="dxa"/>
            <w:tcBorders>
              <w:tl2br w:val="nil"/>
              <w:tr2bl w:val="nil"/>
            </w:tcBorders>
            <w:noWrap w:val="0"/>
            <w:vAlign w:val="center"/>
          </w:tcPr>
          <w:p w14:paraId="389E7DF1">
            <w:pPr>
              <w:pStyle w:val="8"/>
              <w:keepNext w:val="0"/>
              <w:keepLines w:val="0"/>
              <w:pageBreakBefore w:val="0"/>
              <w:widowControl w:val="0"/>
              <w:kinsoku/>
              <w:wordWrap/>
              <w:overflowPunct/>
              <w:topLinePunct w:val="0"/>
              <w:autoSpaceDE/>
              <w:autoSpaceDN/>
              <w:bidi w:val="0"/>
              <w:adjustRightInd/>
              <w:snapToGrid/>
              <w:spacing w:line="0" w:lineRule="atLeast"/>
              <w:ind w:firstLine="420" w:firstLineChars="200"/>
              <w:jc w:val="left"/>
              <w:textAlignment w:val="baseline"/>
              <w:rPr>
                <w:rFonts w:hint="eastAsia" w:ascii="仿宋_GB2312" w:hAnsi="仿宋_GB2312" w:eastAsia="仿宋_GB2312" w:cs="仿宋_GB2312"/>
                <w:b w:val="0"/>
                <w:bCs w:val="0"/>
                <w:sz w:val="21"/>
                <w:szCs w:val="21"/>
                <w:highlight w:val="none"/>
                <w:u w:val="none"/>
                <w:vertAlign w:val="baseline"/>
                <w:lang w:val="en-US" w:eastAsia="zh-CN"/>
              </w:rPr>
            </w:pPr>
            <w:r>
              <w:rPr>
                <w:rFonts w:hint="default" w:ascii="仿宋_GB2312" w:hAnsi="仿宋_GB2312" w:eastAsia="仿宋_GB2312" w:cs="仿宋_GB2312"/>
                <w:b w:val="0"/>
                <w:bCs w:val="0"/>
                <w:sz w:val="21"/>
                <w:szCs w:val="21"/>
                <w:highlight w:val="none"/>
                <w:u w:val="none"/>
                <w:vertAlign w:val="baseline"/>
                <w:lang w:val="en-US" w:eastAsia="zh-CN"/>
              </w:rPr>
              <w:t>尊重逝者意愿与家属习俗，</w:t>
            </w:r>
            <w:r>
              <w:rPr>
                <w:rFonts w:hint="eastAsia" w:ascii="仿宋_GB2312" w:hAnsi="仿宋_GB2312" w:eastAsia="仿宋_GB2312" w:cs="仿宋_GB2312"/>
                <w:b w:val="0"/>
                <w:bCs w:val="0"/>
                <w:sz w:val="21"/>
                <w:szCs w:val="21"/>
                <w:highlight w:val="none"/>
                <w:u w:val="none"/>
                <w:vertAlign w:val="baseline"/>
                <w:lang w:val="en-US" w:eastAsia="zh-CN"/>
              </w:rPr>
              <w:t>在遗体告别前，</w:t>
            </w:r>
            <w:r>
              <w:rPr>
                <w:rFonts w:hint="default" w:ascii="仿宋_GB2312" w:hAnsi="仿宋_GB2312" w:eastAsia="仿宋_GB2312" w:cs="仿宋_GB2312"/>
                <w:b w:val="0"/>
                <w:bCs w:val="0"/>
                <w:sz w:val="21"/>
                <w:szCs w:val="21"/>
                <w:highlight w:val="none"/>
                <w:u w:val="none"/>
                <w:vertAlign w:val="baseline"/>
                <w:lang w:val="en-US" w:eastAsia="zh-CN"/>
              </w:rPr>
              <w:t>为丧属提供</w:t>
            </w:r>
            <w:r>
              <w:rPr>
                <w:rFonts w:hint="eastAsia" w:ascii="仿宋_GB2312" w:hAnsi="仿宋_GB2312" w:eastAsia="仿宋_GB2312" w:cs="仿宋_GB2312"/>
                <w:b w:val="0"/>
                <w:bCs w:val="0"/>
                <w:sz w:val="21"/>
                <w:szCs w:val="21"/>
                <w:highlight w:val="none"/>
                <w:u w:val="none"/>
                <w:vertAlign w:val="baseline"/>
                <w:lang w:val="en-US" w:eastAsia="zh-CN"/>
              </w:rPr>
              <w:t>合规的追思礼仪服务，包括但不限于追思司仪、仪式流程指引、追思词等基础服务，有条件的殡仪服务机构可增加提供撰写挽联、鲜花祭奠等浓厚追思氛围的丧葬用品。</w:t>
            </w:r>
          </w:p>
          <w:p w14:paraId="4D05078C">
            <w:pPr>
              <w:pStyle w:val="8"/>
              <w:keepNext w:val="0"/>
              <w:keepLines w:val="0"/>
              <w:pageBreakBefore w:val="0"/>
              <w:widowControl w:val="0"/>
              <w:kinsoku/>
              <w:wordWrap/>
              <w:overflowPunct/>
              <w:topLinePunct w:val="0"/>
              <w:autoSpaceDE/>
              <w:autoSpaceDN/>
              <w:bidi w:val="0"/>
              <w:adjustRightInd/>
              <w:snapToGrid/>
              <w:spacing w:line="0" w:lineRule="atLeast"/>
              <w:ind w:firstLine="420" w:firstLineChars="200"/>
              <w:jc w:val="left"/>
              <w:textAlignment w:val="baseline"/>
              <w:rPr>
                <w:rFonts w:hint="eastAsia" w:ascii="仿宋_GB2312" w:hAnsi="仿宋_GB2312" w:eastAsia="仿宋_GB2312" w:cs="仿宋_GB2312"/>
                <w:b w:val="0"/>
                <w:bCs w:val="0"/>
                <w:kern w:val="2"/>
                <w:sz w:val="21"/>
                <w:szCs w:val="21"/>
                <w:highlight w:val="none"/>
                <w:u w:val="none"/>
                <w:vertAlign w:val="baseline"/>
                <w:lang w:val="en-US" w:eastAsia="zh-CN" w:bidi="ar-SA"/>
              </w:rPr>
            </w:pPr>
            <w:r>
              <w:rPr>
                <w:rFonts w:hint="eastAsia" w:ascii="仿宋_GB2312" w:hAnsi="仿宋_GB2312" w:eastAsia="仿宋_GB2312" w:cs="仿宋_GB2312"/>
                <w:b w:val="0"/>
                <w:bCs w:val="0"/>
                <w:sz w:val="21"/>
                <w:szCs w:val="21"/>
                <w:highlight w:val="none"/>
                <w:u w:val="none"/>
                <w:vertAlign w:val="baseline"/>
                <w:lang w:val="en-US" w:eastAsia="zh-CN"/>
              </w:rPr>
              <w:t>按次收费。以按丧属要求完成追思仪式计费。已购买殡仪仪式服务的不收取。场地及基础设施保障费用不收取。</w:t>
            </w:r>
          </w:p>
        </w:tc>
        <w:tc>
          <w:tcPr>
            <w:tcW w:w="888" w:type="dxa"/>
            <w:tcBorders>
              <w:tl2br w:val="nil"/>
              <w:tr2bl w:val="nil"/>
            </w:tcBorders>
            <w:noWrap w:val="0"/>
            <w:vAlign w:val="center"/>
          </w:tcPr>
          <w:p w14:paraId="75CD7289">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b w:val="0"/>
                <w:bCs w:val="0"/>
                <w:kern w:val="2"/>
                <w:sz w:val="21"/>
                <w:szCs w:val="21"/>
                <w:highlight w:val="none"/>
                <w:u w:val="none"/>
                <w:vertAlign w:val="baseline"/>
                <w:lang w:val="en-US" w:eastAsia="zh-CN" w:bidi="ar-SA"/>
              </w:rPr>
            </w:pPr>
            <w:r>
              <w:rPr>
                <w:rFonts w:hint="default" w:ascii="仿宋_GB2312" w:hAnsi="仿宋_GB2312" w:eastAsia="仿宋_GB2312" w:cs="仿宋_GB2312"/>
                <w:b w:val="0"/>
                <w:bCs w:val="0"/>
                <w:kern w:val="2"/>
                <w:sz w:val="21"/>
                <w:szCs w:val="21"/>
                <w:highlight w:val="none"/>
                <w:u w:val="none"/>
                <w:vertAlign w:val="baseline"/>
                <w:lang w:val="en-US" w:eastAsia="zh-CN" w:bidi="ar-SA"/>
              </w:rPr>
              <w:t>元/次</w:t>
            </w:r>
          </w:p>
        </w:tc>
        <w:tc>
          <w:tcPr>
            <w:tcW w:w="1381" w:type="dxa"/>
            <w:tcBorders>
              <w:tl2br w:val="nil"/>
              <w:tr2bl w:val="nil"/>
            </w:tcBorders>
            <w:noWrap w:val="0"/>
            <w:vAlign w:val="center"/>
          </w:tcPr>
          <w:p w14:paraId="0F2C8F5E">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b w:val="0"/>
                <w:bCs w:val="0"/>
                <w:kern w:val="2"/>
                <w:sz w:val="21"/>
                <w:szCs w:val="21"/>
                <w:highlight w:val="none"/>
                <w:u w:val="none"/>
                <w:vertAlign w:val="baseline"/>
                <w:lang w:val="en-US" w:eastAsia="zh-CN" w:bidi="ar-SA"/>
              </w:rPr>
              <w:t>市场</w:t>
            </w:r>
            <w:r>
              <w:rPr>
                <w:rFonts w:hint="eastAsia" w:ascii="仿宋_GB2312" w:hAnsi="仿宋_GB2312" w:eastAsia="仿宋_GB2312" w:cs="仿宋_GB2312"/>
                <w:sz w:val="21"/>
                <w:szCs w:val="21"/>
                <w:highlight w:val="none"/>
                <w:vertAlign w:val="baseline"/>
                <w:lang w:val="en-US" w:eastAsia="zh-CN"/>
              </w:rPr>
              <w:t>调节价</w:t>
            </w:r>
          </w:p>
        </w:tc>
      </w:tr>
      <w:tr w14:paraId="59FD5F4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560" w:type="dxa"/>
            <w:tcBorders>
              <w:tl2br w:val="nil"/>
              <w:tr2bl w:val="nil"/>
            </w:tcBorders>
            <w:noWrap w:val="0"/>
            <w:vAlign w:val="center"/>
          </w:tcPr>
          <w:p w14:paraId="7009969C">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b w:val="0"/>
                <w:bCs w:val="0"/>
                <w:kern w:val="2"/>
                <w:sz w:val="21"/>
                <w:szCs w:val="21"/>
                <w:highlight w:val="none"/>
                <w:u w:val="none"/>
                <w:vertAlign w:val="baseline"/>
                <w:lang w:val="en-US" w:eastAsia="zh-CN" w:bidi="ar-SA"/>
              </w:rPr>
            </w:pPr>
            <w:r>
              <w:rPr>
                <w:rFonts w:hint="eastAsia" w:ascii="仿宋_GB2312" w:hAnsi="仿宋_GB2312" w:eastAsia="仿宋_GB2312" w:cs="仿宋_GB2312"/>
                <w:b w:val="0"/>
                <w:bCs w:val="0"/>
                <w:sz w:val="21"/>
                <w:szCs w:val="21"/>
                <w:highlight w:val="none"/>
                <w:u w:val="none"/>
                <w:vertAlign w:val="baseline"/>
                <w:lang w:val="en-US" w:eastAsia="zh-CN"/>
              </w:rPr>
              <w:t>20</w:t>
            </w:r>
          </w:p>
        </w:tc>
        <w:tc>
          <w:tcPr>
            <w:tcW w:w="1339" w:type="dxa"/>
            <w:tcBorders>
              <w:tl2br w:val="nil"/>
              <w:tr2bl w:val="nil"/>
            </w:tcBorders>
            <w:noWrap w:val="0"/>
            <w:vAlign w:val="center"/>
          </w:tcPr>
          <w:p w14:paraId="49CAF54B">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b w:val="0"/>
                <w:bCs w:val="0"/>
                <w:sz w:val="21"/>
                <w:szCs w:val="21"/>
                <w:highlight w:val="none"/>
                <w:u w:val="none"/>
                <w:vertAlign w:val="baseline"/>
                <w:lang w:val="en-US" w:eastAsia="zh-CN"/>
              </w:rPr>
            </w:pPr>
            <w:r>
              <w:rPr>
                <w:rFonts w:hint="eastAsia" w:ascii="仿宋_GB2312" w:hAnsi="仿宋_GB2312" w:eastAsia="仿宋_GB2312" w:cs="仿宋_GB2312"/>
                <w:b w:val="0"/>
                <w:bCs w:val="0"/>
                <w:sz w:val="21"/>
                <w:szCs w:val="21"/>
                <w:highlight w:val="none"/>
                <w:u w:val="none"/>
                <w:vertAlign w:val="baseline"/>
                <w:lang w:val="en-US" w:eastAsia="zh-CN"/>
              </w:rPr>
              <w:t>骨灰回送</w:t>
            </w:r>
          </w:p>
          <w:p w14:paraId="57D1BC10">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b w:val="0"/>
                <w:bCs w:val="0"/>
                <w:kern w:val="2"/>
                <w:sz w:val="21"/>
                <w:szCs w:val="21"/>
                <w:highlight w:val="none"/>
                <w:u w:val="none"/>
                <w:vertAlign w:val="baseline"/>
                <w:lang w:val="en-US" w:eastAsia="zh-CN" w:bidi="ar-SA"/>
              </w:rPr>
            </w:pPr>
            <w:r>
              <w:rPr>
                <w:rFonts w:hint="eastAsia" w:ascii="仿宋_GB2312" w:hAnsi="仿宋_GB2312" w:eastAsia="仿宋_GB2312" w:cs="仿宋_GB2312"/>
                <w:b w:val="0"/>
                <w:bCs w:val="0"/>
                <w:sz w:val="21"/>
                <w:szCs w:val="21"/>
                <w:highlight w:val="none"/>
                <w:u w:val="none"/>
                <w:vertAlign w:val="baseline"/>
                <w:lang w:val="en-US" w:eastAsia="zh-CN"/>
              </w:rPr>
              <w:t>服务</w:t>
            </w:r>
          </w:p>
        </w:tc>
        <w:tc>
          <w:tcPr>
            <w:tcW w:w="8804" w:type="dxa"/>
            <w:tcBorders>
              <w:tl2br w:val="nil"/>
              <w:tr2bl w:val="nil"/>
            </w:tcBorders>
            <w:noWrap w:val="0"/>
            <w:vAlign w:val="center"/>
          </w:tcPr>
          <w:p w14:paraId="2D4942EA">
            <w:pPr>
              <w:pStyle w:val="8"/>
              <w:keepNext w:val="0"/>
              <w:keepLines w:val="0"/>
              <w:pageBreakBefore w:val="0"/>
              <w:widowControl w:val="0"/>
              <w:kinsoku/>
              <w:wordWrap/>
              <w:overflowPunct/>
              <w:topLinePunct w:val="0"/>
              <w:autoSpaceDE/>
              <w:autoSpaceDN/>
              <w:bidi w:val="0"/>
              <w:adjustRightInd/>
              <w:snapToGrid/>
              <w:spacing w:line="0" w:lineRule="atLeast"/>
              <w:ind w:firstLine="420" w:firstLineChars="200"/>
              <w:jc w:val="left"/>
              <w:textAlignment w:val="baseline"/>
              <w:rPr>
                <w:rFonts w:hint="eastAsia" w:ascii="仿宋_GB2312" w:hAnsi="仿宋_GB2312" w:eastAsia="仿宋_GB2312" w:cs="仿宋_GB2312"/>
                <w:b w:val="0"/>
                <w:bCs w:val="0"/>
                <w:sz w:val="21"/>
                <w:szCs w:val="21"/>
                <w:highlight w:val="none"/>
                <w:u w:val="none"/>
                <w:vertAlign w:val="baseline"/>
                <w:lang w:val="en-US" w:eastAsia="zh-CN"/>
              </w:rPr>
            </w:pPr>
            <w:r>
              <w:rPr>
                <w:rFonts w:hint="eastAsia" w:ascii="仿宋_GB2312" w:hAnsi="仿宋_GB2312" w:eastAsia="仿宋_GB2312" w:cs="仿宋_GB2312"/>
                <w:b w:val="0"/>
                <w:bCs w:val="0"/>
                <w:sz w:val="21"/>
                <w:szCs w:val="21"/>
                <w:highlight w:val="none"/>
                <w:u w:val="none"/>
                <w:vertAlign w:val="baseline"/>
                <w:lang w:val="en-US" w:eastAsia="zh-CN"/>
              </w:rPr>
              <w:t>按丧属意愿，将装殓好的骨灰送至指定地点。此服务仅限于送达并完成交接，不提供安葬服务。不得违反国家、省、市有关法律法规要求处置骨灰。</w:t>
            </w:r>
          </w:p>
          <w:p w14:paraId="4FF271BD">
            <w:pPr>
              <w:pStyle w:val="8"/>
              <w:keepNext w:val="0"/>
              <w:keepLines w:val="0"/>
              <w:pageBreakBefore w:val="0"/>
              <w:widowControl w:val="0"/>
              <w:kinsoku/>
              <w:wordWrap/>
              <w:overflowPunct/>
              <w:topLinePunct w:val="0"/>
              <w:autoSpaceDE/>
              <w:autoSpaceDN/>
              <w:bidi w:val="0"/>
              <w:adjustRightInd/>
              <w:snapToGrid/>
              <w:spacing w:line="0" w:lineRule="atLeast"/>
              <w:ind w:firstLine="420" w:firstLineChars="200"/>
              <w:jc w:val="left"/>
              <w:textAlignment w:val="baseline"/>
              <w:rPr>
                <w:rFonts w:hint="eastAsia" w:ascii="仿宋_GB2312" w:hAnsi="仿宋_GB2312" w:eastAsia="仿宋_GB2312" w:cs="仿宋_GB2312"/>
                <w:b w:val="0"/>
                <w:bCs w:val="0"/>
                <w:kern w:val="2"/>
                <w:sz w:val="21"/>
                <w:szCs w:val="21"/>
                <w:highlight w:val="none"/>
                <w:u w:val="none"/>
                <w:vertAlign w:val="baseline"/>
                <w:lang w:val="en-US" w:eastAsia="zh-CN" w:bidi="ar-SA"/>
              </w:rPr>
            </w:pPr>
            <w:r>
              <w:rPr>
                <w:rFonts w:hint="eastAsia" w:ascii="仿宋_GB2312" w:hAnsi="仿宋_GB2312" w:eastAsia="仿宋_GB2312" w:cs="仿宋_GB2312"/>
                <w:b w:val="0"/>
                <w:bCs w:val="0"/>
                <w:sz w:val="21"/>
                <w:szCs w:val="21"/>
                <w:highlight w:val="none"/>
                <w:u w:val="none"/>
                <w:vertAlign w:val="baseline"/>
                <w:lang w:val="en-US" w:eastAsia="zh-CN"/>
              </w:rPr>
              <w:t>按公里收费。以骨灰送达计费。</w:t>
            </w:r>
          </w:p>
        </w:tc>
        <w:tc>
          <w:tcPr>
            <w:tcW w:w="888" w:type="dxa"/>
            <w:tcBorders>
              <w:tl2br w:val="nil"/>
              <w:tr2bl w:val="nil"/>
            </w:tcBorders>
            <w:noWrap w:val="0"/>
            <w:vAlign w:val="center"/>
          </w:tcPr>
          <w:p w14:paraId="640EAE92">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b w:val="0"/>
                <w:bCs w:val="0"/>
                <w:kern w:val="2"/>
                <w:sz w:val="21"/>
                <w:szCs w:val="21"/>
                <w:highlight w:val="none"/>
                <w:u w:val="none"/>
                <w:vertAlign w:val="baseline"/>
                <w:lang w:val="en-US" w:eastAsia="zh-CN" w:bidi="ar-SA"/>
              </w:rPr>
            </w:pPr>
            <w:r>
              <w:rPr>
                <w:rFonts w:hint="default" w:ascii="仿宋_GB2312" w:hAnsi="仿宋_GB2312" w:eastAsia="仿宋_GB2312" w:cs="仿宋_GB2312"/>
                <w:w w:val="85"/>
                <w:sz w:val="21"/>
                <w:szCs w:val="21"/>
                <w:highlight w:val="none"/>
                <w:vertAlign w:val="baseline"/>
                <w:lang w:val="en-US" w:eastAsia="zh-CN"/>
              </w:rPr>
              <w:t>元/</w:t>
            </w:r>
            <w:r>
              <w:rPr>
                <w:rFonts w:hint="eastAsia" w:ascii="仿宋_GB2312" w:hAnsi="仿宋_GB2312" w:eastAsia="仿宋_GB2312" w:cs="仿宋_GB2312"/>
                <w:w w:val="85"/>
                <w:sz w:val="21"/>
                <w:szCs w:val="21"/>
                <w:highlight w:val="none"/>
                <w:vertAlign w:val="baseline"/>
                <w:lang w:val="en-US" w:eastAsia="zh-CN"/>
              </w:rPr>
              <w:t>公里</w:t>
            </w:r>
          </w:p>
        </w:tc>
        <w:tc>
          <w:tcPr>
            <w:tcW w:w="1381" w:type="dxa"/>
            <w:tcBorders>
              <w:tl2br w:val="nil"/>
              <w:tr2bl w:val="nil"/>
            </w:tcBorders>
            <w:noWrap w:val="0"/>
            <w:vAlign w:val="center"/>
          </w:tcPr>
          <w:p w14:paraId="20F2E73F">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b w:val="0"/>
                <w:bCs w:val="0"/>
                <w:kern w:val="2"/>
                <w:sz w:val="21"/>
                <w:szCs w:val="21"/>
                <w:highlight w:val="none"/>
                <w:u w:val="none"/>
                <w:vertAlign w:val="baseline"/>
                <w:lang w:val="en-US" w:eastAsia="zh-CN" w:bidi="ar-SA"/>
              </w:rPr>
              <w:t>市场</w:t>
            </w:r>
            <w:r>
              <w:rPr>
                <w:rFonts w:hint="eastAsia" w:ascii="仿宋_GB2312" w:hAnsi="仿宋_GB2312" w:eastAsia="仿宋_GB2312" w:cs="仿宋_GB2312"/>
                <w:sz w:val="21"/>
                <w:szCs w:val="21"/>
                <w:highlight w:val="none"/>
                <w:vertAlign w:val="baseline"/>
                <w:lang w:val="en-US" w:eastAsia="zh-CN"/>
              </w:rPr>
              <w:t>调节价</w:t>
            </w:r>
          </w:p>
        </w:tc>
      </w:tr>
      <w:tr w14:paraId="2647D8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560" w:type="dxa"/>
            <w:tcBorders>
              <w:tl2br w:val="nil"/>
              <w:tr2bl w:val="nil"/>
            </w:tcBorders>
            <w:noWrap w:val="0"/>
            <w:vAlign w:val="center"/>
          </w:tcPr>
          <w:p w14:paraId="527BA974">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b w:val="0"/>
                <w:bCs w:val="0"/>
                <w:kern w:val="2"/>
                <w:sz w:val="21"/>
                <w:szCs w:val="21"/>
                <w:highlight w:val="none"/>
                <w:u w:val="none"/>
                <w:vertAlign w:val="baseline"/>
                <w:lang w:val="en-US" w:eastAsia="zh-CN" w:bidi="ar-SA"/>
              </w:rPr>
            </w:pPr>
            <w:r>
              <w:rPr>
                <w:rFonts w:hint="eastAsia" w:ascii="仿宋_GB2312" w:hAnsi="仿宋_GB2312" w:eastAsia="仿宋_GB2312" w:cs="仿宋_GB2312"/>
                <w:b w:val="0"/>
                <w:bCs w:val="0"/>
                <w:sz w:val="21"/>
                <w:szCs w:val="21"/>
                <w:highlight w:val="none"/>
                <w:u w:val="none"/>
                <w:vertAlign w:val="baseline"/>
                <w:lang w:val="en-US" w:eastAsia="zh-CN"/>
              </w:rPr>
              <w:t>21</w:t>
            </w:r>
          </w:p>
        </w:tc>
        <w:tc>
          <w:tcPr>
            <w:tcW w:w="1339" w:type="dxa"/>
            <w:tcBorders>
              <w:tl2br w:val="nil"/>
              <w:tr2bl w:val="nil"/>
            </w:tcBorders>
            <w:noWrap w:val="0"/>
            <w:vAlign w:val="center"/>
          </w:tcPr>
          <w:p w14:paraId="24562B1D">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b w:val="0"/>
                <w:bCs w:val="0"/>
                <w:kern w:val="2"/>
                <w:sz w:val="21"/>
                <w:szCs w:val="21"/>
                <w:highlight w:val="none"/>
                <w:u w:val="none"/>
                <w:vertAlign w:val="baseline"/>
                <w:lang w:val="en-US" w:eastAsia="zh-CN" w:bidi="ar-SA"/>
              </w:rPr>
            </w:pPr>
            <w:r>
              <w:rPr>
                <w:rFonts w:hint="eastAsia" w:ascii="仿宋_GB2312" w:hAnsi="仿宋_GB2312" w:eastAsia="仿宋_GB2312" w:cs="仿宋_GB2312"/>
                <w:b w:val="0"/>
                <w:bCs w:val="0"/>
                <w:sz w:val="21"/>
                <w:szCs w:val="21"/>
                <w:highlight w:val="none"/>
                <w:u w:val="none"/>
                <w:vertAlign w:val="baseline"/>
                <w:lang w:val="en-US" w:eastAsia="zh-CN"/>
              </w:rPr>
              <w:t>丧属临时休息服务</w:t>
            </w:r>
          </w:p>
        </w:tc>
        <w:tc>
          <w:tcPr>
            <w:tcW w:w="8804" w:type="dxa"/>
            <w:tcBorders>
              <w:tl2br w:val="nil"/>
              <w:tr2bl w:val="nil"/>
            </w:tcBorders>
            <w:noWrap w:val="0"/>
            <w:vAlign w:val="center"/>
          </w:tcPr>
          <w:p w14:paraId="79238465">
            <w:pPr>
              <w:pStyle w:val="8"/>
              <w:keepNext w:val="0"/>
              <w:keepLines w:val="0"/>
              <w:pageBreakBefore w:val="0"/>
              <w:widowControl w:val="0"/>
              <w:kinsoku/>
              <w:wordWrap/>
              <w:overflowPunct/>
              <w:topLinePunct w:val="0"/>
              <w:autoSpaceDE/>
              <w:autoSpaceDN/>
              <w:bidi w:val="0"/>
              <w:adjustRightInd/>
              <w:snapToGrid/>
              <w:spacing w:line="0" w:lineRule="atLeast"/>
              <w:ind w:firstLine="420" w:firstLineChars="200"/>
              <w:jc w:val="left"/>
              <w:textAlignment w:val="baseline"/>
              <w:rPr>
                <w:rFonts w:hint="eastAsia" w:ascii="仿宋_GB2312" w:hAnsi="仿宋_GB2312" w:eastAsia="仿宋_GB2312" w:cs="仿宋_GB2312"/>
                <w:b w:val="0"/>
                <w:bCs w:val="0"/>
                <w:sz w:val="21"/>
                <w:szCs w:val="21"/>
                <w:highlight w:val="none"/>
                <w:u w:val="none"/>
                <w:vertAlign w:val="baseline"/>
                <w:lang w:val="en-US" w:eastAsia="zh-CN"/>
              </w:rPr>
            </w:pPr>
            <w:r>
              <w:rPr>
                <w:rFonts w:hint="eastAsia" w:ascii="仿宋_GB2312" w:hAnsi="仿宋_GB2312" w:eastAsia="仿宋_GB2312" w:cs="仿宋_GB2312"/>
                <w:b w:val="0"/>
                <w:bCs w:val="0"/>
                <w:sz w:val="21"/>
                <w:szCs w:val="21"/>
                <w:highlight w:val="none"/>
                <w:u w:val="none"/>
                <w:vertAlign w:val="baseline"/>
                <w:lang w:val="en-US" w:eastAsia="zh-CN"/>
              </w:rPr>
              <w:t>丧属长时间等候期间，为丧属提供临时休息服务，包括但不限于场地、座椅、便民服务设施、卫生清洁等基础服务。有条件的殡仪服务机构可提供餐食等延伸服务，可额外核定费用。</w:t>
            </w:r>
          </w:p>
          <w:p w14:paraId="01E62245">
            <w:pPr>
              <w:pStyle w:val="8"/>
              <w:keepNext w:val="0"/>
              <w:keepLines w:val="0"/>
              <w:pageBreakBefore w:val="0"/>
              <w:widowControl w:val="0"/>
              <w:kinsoku/>
              <w:wordWrap/>
              <w:overflowPunct/>
              <w:topLinePunct w:val="0"/>
              <w:autoSpaceDE/>
              <w:autoSpaceDN/>
              <w:bidi w:val="0"/>
              <w:adjustRightInd/>
              <w:snapToGrid/>
              <w:spacing w:line="0" w:lineRule="atLeast"/>
              <w:ind w:firstLine="420" w:firstLineChars="200"/>
              <w:jc w:val="left"/>
              <w:textAlignment w:val="baseline"/>
              <w:rPr>
                <w:rFonts w:hint="eastAsia" w:ascii="仿宋_GB2312" w:hAnsi="仿宋_GB2312" w:eastAsia="仿宋_GB2312" w:cs="仿宋_GB2312"/>
                <w:b w:val="0"/>
                <w:bCs w:val="0"/>
                <w:kern w:val="2"/>
                <w:sz w:val="21"/>
                <w:szCs w:val="21"/>
                <w:highlight w:val="none"/>
                <w:u w:val="none"/>
                <w:vertAlign w:val="baseline"/>
                <w:lang w:val="en-US" w:eastAsia="zh-CN" w:bidi="ar-SA"/>
              </w:rPr>
            </w:pPr>
            <w:r>
              <w:rPr>
                <w:rFonts w:hint="eastAsia" w:ascii="仿宋_GB2312" w:hAnsi="仿宋_GB2312" w:eastAsia="仿宋_GB2312" w:cs="仿宋_GB2312"/>
                <w:b w:val="0"/>
                <w:bCs w:val="0"/>
                <w:sz w:val="21"/>
                <w:szCs w:val="21"/>
                <w:highlight w:val="none"/>
                <w:u w:val="none"/>
                <w:vertAlign w:val="baseline"/>
                <w:lang w:val="en-US" w:eastAsia="zh-CN"/>
              </w:rPr>
              <w:t>按次收费。已购买守灵间租赁服务且仍在使用期间的不收取基础服务费用，可收取餐食服务费用。</w:t>
            </w:r>
          </w:p>
        </w:tc>
        <w:tc>
          <w:tcPr>
            <w:tcW w:w="888" w:type="dxa"/>
            <w:tcBorders>
              <w:tl2br w:val="nil"/>
              <w:tr2bl w:val="nil"/>
            </w:tcBorders>
            <w:noWrap w:val="0"/>
            <w:vAlign w:val="center"/>
          </w:tcPr>
          <w:p w14:paraId="7BCBEB60">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default" w:ascii="仿宋_GB2312" w:hAnsi="仿宋_GB2312" w:eastAsia="仿宋_GB2312" w:cs="仿宋_GB2312"/>
                <w:b w:val="0"/>
                <w:bCs w:val="0"/>
                <w:kern w:val="2"/>
                <w:sz w:val="21"/>
                <w:szCs w:val="21"/>
                <w:highlight w:val="none"/>
                <w:u w:val="none"/>
                <w:vertAlign w:val="baseline"/>
                <w:lang w:val="en-US" w:eastAsia="zh-CN" w:bidi="ar-SA"/>
              </w:rPr>
            </w:pPr>
            <w:r>
              <w:rPr>
                <w:rFonts w:hint="default" w:ascii="仿宋_GB2312" w:hAnsi="仿宋_GB2312" w:eastAsia="仿宋_GB2312" w:cs="仿宋_GB2312"/>
                <w:b w:val="0"/>
                <w:bCs w:val="0"/>
                <w:kern w:val="2"/>
                <w:sz w:val="21"/>
                <w:szCs w:val="21"/>
                <w:highlight w:val="none"/>
                <w:u w:val="none"/>
                <w:vertAlign w:val="baseline"/>
                <w:lang w:val="en-US" w:eastAsia="zh-CN" w:bidi="ar-SA"/>
              </w:rPr>
              <w:t>元/次</w:t>
            </w:r>
          </w:p>
        </w:tc>
        <w:tc>
          <w:tcPr>
            <w:tcW w:w="1381" w:type="dxa"/>
            <w:tcBorders>
              <w:tl2br w:val="nil"/>
              <w:tr2bl w:val="nil"/>
            </w:tcBorders>
            <w:noWrap w:val="0"/>
            <w:vAlign w:val="center"/>
          </w:tcPr>
          <w:p w14:paraId="195C048E">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sz w:val="21"/>
                <w:szCs w:val="21"/>
                <w:highlight w:val="none"/>
                <w:vertAlign w:val="baseline"/>
                <w:lang w:val="en-US" w:eastAsia="zh-CN"/>
              </w:rPr>
            </w:pPr>
            <w:r>
              <w:rPr>
                <w:rFonts w:hint="eastAsia" w:ascii="仿宋_GB2312" w:hAnsi="仿宋_GB2312" w:eastAsia="仿宋_GB2312" w:cs="仿宋_GB2312"/>
                <w:b w:val="0"/>
                <w:bCs w:val="0"/>
                <w:kern w:val="2"/>
                <w:sz w:val="21"/>
                <w:szCs w:val="21"/>
                <w:highlight w:val="none"/>
                <w:u w:val="none"/>
                <w:vertAlign w:val="baseline"/>
                <w:lang w:val="en-US" w:eastAsia="zh-CN" w:bidi="ar-SA"/>
              </w:rPr>
              <w:t>市场</w:t>
            </w:r>
            <w:r>
              <w:rPr>
                <w:rFonts w:hint="eastAsia" w:ascii="仿宋_GB2312" w:hAnsi="仿宋_GB2312" w:eastAsia="仿宋_GB2312" w:cs="仿宋_GB2312"/>
                <w:sz w:val="21"/>
                <w:szCs w:val="21"/>
                <w:highlight w:val="none"/>
                <w:vertAlign w:val="baseline"/>
                <w:lang w:val="en-US" w:eastAsia="zh-CN"/>
              </w:rPr>
              <w:t>调节价</w:t>
            </w:r>
          </w:p>
        </w:tc>
      </w:tr>
    </w:tbl>
    <w:p w14:paraId="2B70A50C">
      <w:pPr>
        <w:pStyle w:val="8"/>
        <w:ind w:left="0" w:leftChars="0" w:firstLine="0" w:firstLineChars="0"/>
        <w:rPr>
          <w:rFonts w:hint="eastAsia" w:ascii="方正小标宋简体" w:hAnsi="方正小标宋简体" w:eastAsia="方正小标宋简体" w:cs="方正小标宋简体"/>
          <w:b w:val="0"/>
          <w:bCs w:val="0"/>
          <w:sz w:val="44"/>
          <w:szCs w:val="44"/>
          <w:highlight w:val="none"/>
          <w:lang w:val="en-US" w:eastAsia="zh-CN"/>
        </w:rPr>
        <w:sectPr>
          <w:pgSz w:w="16838" w:h="11906" w:orient="landscape"/>
          <w:pgMar w:top="1134" w:right="2098" w:bottom="1134" w:left="1984" w:header="851" w:footer="1134" w:gutter="0"/>
          <w:pgBorders>
            <w:top w:val="none" w:sz="0" w:space="0"/>
            <w:left w:val="none" w:sz="0" w:space="0"/>
            <w:bottom w:val="none" w:sz="0" w:space="0"/>
            <w:right w:val="none" w:sz="0" w:space="0"/>
          </w:pgBorders>
          <w:pgNumType w:fmt="numberInDash"/>
          <w:cols w:space="720" w:num="1"/>
          <w:docGrid w:type="lines" w:linePitch="312" w:charSpace="0"/>
        </w:sectPr>
      </w:pPr>
    </w:p>
    <w:p w14:paraId="0A18B9E9">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方正小标宋简体" w:hAnsi="方正小标宋简体" w:eastAsia="方正小标宋简体" w:cs="方正小标宋简体"/>
          <w:i w:val="0"/>
          <w:iCs w:val="0"/>
          <w:sz w:val="44"/>
          <w:szCs w:val="44"/>
          <w:lang w:eastAsia="zh-CN"/>
        </w:rPr>
      </w:pPr>
      <w:r>
        <w:rPr>
          <w:rFonts w:hint="eastAsia" w:ascii="方正小标宋简体" w:hAnsi="方正小标宋简体" w:eastAsia="方正小标宋简体" w:cs="方正小标宋简体"/>
          <w:b w:val="0"/>
          <w:bCs w:val="0"/>
          <w:sz w:val="44"/>
          <w:szCs w:val="44"/>
          <w:highlight w:val="none"/>
          <w:lang w:val="en-US" w:eastAsia="zh-CN"/>
        </w:rPr>
        <w:t>丧葬用品清单</w:t>
      </w:r>
    </w:p>
    <w:p w14:paraId="320E4ED7">
      <w:pPr>
        <w:pStyle w:val="8"/>
        <w:keepNext w:val="0"/>
        <w:keepLines w:val="0"/>
        <w:pageBreakBefore w:val="0"/>
        <w:widowControl w:val="0"/>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CESI楷体-GB2312" w:hAnsi="CESI楷体-GB2312" w:eastAsia="CESI楷体-GB2312" w:cs="CESI楷体-GB2312"/>
          <w:b w:val="0"/>
          <w:bCs w:val="0"/>
          <w:w w:val="100"/>
          <w:sz w:val="32"/>
          <w:szCs w:val="32"/>
          <w:highlight w:val="none"/>
          <w:lang w:val="en-US" w:eastAsia="zh-CN"/>
        </w:rPr>
      </w:pPr>
      <w:r>
        <w:rPr>
          <w:rFonts w:hint="eastAsia" w:ascii="CESI楷体-GB2312" w:hAnsi="CESI楷体-GB2312" w:eastAsia="CESI楷体-GB2312" w:cs="CESI楷体-GB2312"/>
          <w:b w:val="0"/>
          <w:bCs w:val="0"/>
          <w:w w:val="100"/>
          <w:sz w:val="32"/>
          <w:szCs w:val="32"/>
          <w:highlight w:val="none"/>
          <w:lang w:val="en-US" w:eastAsia="zh-CN"/>
        </w:rPr>
        <w:t>（一次征求社会意见稿）</w:t>
      </w:r>
    </w:p>
    <w:tbl>
      <w:tblPr>
        <w:tblStyle w:val="5"/>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442"/>
        <w:gridCol w:w="1517"/>
        <w:gridCol w:w="5111"/>
        <w:gridCol w:w="669"/>
        <w:gridCol w:w="1322"/>
      </w:tblGrid>
      <w:tr w14:paraId="486A78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3" w:hRule="atLeast"/>
          <w:tblHeader/>
        </w:trPr>
        <w:tc>
          <w:tcPr>
            <w:tcW w:w="442" w:type="dxa"/>
            <w:tcBorders>
              <w:tl2br w:val="nil"/>
              <w:tr2bl w:val="nil"/>
            </w:tcBorders>
            <w:noWrap w:val="0"/>
            <w:vAlign w:val="center"/>
          </w:tcPr>
          <w:p w14:paraId="183CDB82">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黑体" w:hAnsi="黑体" w:eastAsia="黑体" w:cs="黑体"/>
                <w:color w:val="auto"/>
                <w:sz w:val="21"/>
                <w:szCs w:val="21"/>
                <w:highlight w:val="none"/>
                <w:vertAlign w:val="baseline"/>
                <w:lang w:val="en-US" w:eastAsia="zh-CN"/>
              </w:rPr>
            </w:pPr>
            <w:r>
              <w:rPr>
                <w:rFonts w:hint="eastAsia" w:ascii="黑体" w:hAnsi="黑体" w:eastAsia="黑体" w:cs="黑体"/>
                <w:color w:val="auto"/>
                <w:sz w:val="21"/>
                <w:szCs w:val="21"/>
                <w:highlight w:val="none"/>
                <w:lang w:val="en-US" w:eastAsia="zh-CN"/>
              </w:rPr>
              <w:t>序号</w:t>
            </w:r>
            <w:r>
              <w:rPr>
                <w:rFonts w:hint="eastAsia" w:ascii="黑体" w:hAnsi="黑体" w:eastAsia="黑体" w:cs="黑体"/>
                <w:color w:val="auto"/>
                <w:sz w:val="21"/>
                <w:szCs w:val="21"/>
                <w:highlight w:val="none"/>
                <w:lang w:val="en-US" w:eastAsia="zh-CN"/>
              </w:rPr>
              <w:br w:type="page"/>
            </w:r>
          </w:p>
        </w:tc>
        <w:tc>
          <w:tcPr>
            <w:tcW w:w="1517" w:type="dxa"/>
            <w:tcBorders>
              <w:tl2br w:val="nil"/>
              <w:tr2bl w:val="nil"/>
            </w:tcBorders>
            <w:noWrap w:val="0"/>
            <w:vAlign w:val="center"/>
          </w:tcPr>
          <w:p w14:paraId="2F2E4320">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黑体" w:hAnsi="黑体" w:eastAsia="黑体" w:cs="黑体"/>
                <w:color w:val="auto"/>
                <w:sz w:val="21"/>
                <w:szCs w:val="21"/>
                <w:highlight w:val="none"/>
                <w:vertAlign w:val="baseline"/>
                <w:lang w:val="en-US" w:eastAsia="zh-CN"/>
              </w:rPr>
            </w:pPr>
            <w:r>
              <w:rPr>
                <w:rFonts w:hint="eastAsia" w:ascii="黑体" w:hAnsi="黑体" w:eastAsia="黑体" w:cs="黑体"/>
                <w:color w:val="auto"/>
                <w:sz w:val="21"/>
                <w:szCs w:val="21"/>
                <w:highlight w:val="none"/>
                <w:vertAlign w:val="baseline"/>
                <w:lang w:val="en-US" w:eastAsia="zh-CN"/>
              </w:rPr>
              <w:t>项目</w:t>
            </w:r>
          </w:p>
        </w:tc>
        <w:tc>
          <w:tcPr>
            <w:tcW w:w="5111" w:type="dxa"/>
            <w:tcBorders>
              <w:tl2br w:val="nil"/>
              <w:tr2bl w:val="nil"/>
            </w:tcBorders>
            <w:noWrap w:val="0"/>
            <w:vAlign w:val="center"/>
          </w:tcPr>
          <w:p w14:paraId="27071516">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黑体" w:hAnsi="黑体" w:eastAsia="黑体" w:cs="黑体"/>
                <w:color w:val="auto"/>
                <w:sz w:val="21"/>
                <w:szCs w:val="21"/>
                <w:highlight w:val="none"/>
                <w:vertAlign w:val="baseline"/>
                <w:lang w:val="en-US" w:eastAsia="zh-CN"/>
              </w:rPr>
            </w:pPr>
            <w:r>
              <w:rPr>
                <w:rFonts w:hint="eastAsia" w:ascii="黑体" w:hAnsi="黑体" w:eastAsia="黑体" w:cs="黑体"/>
                <w:color w:val="auto"/>
                <w:sz w:val="21"/>
                <w:szCs w:val="21"/>
                <w:highlight w:val="none"/>
                <w:vertAlign w:val="baseline"/>
                <w:lang w:val="en-US" w:eastAsia="zh-CN"/>
              </w:rPr>
              <w:t>产品参数</w:t>
            </w:r>
          </w:p>
        </w:tc>
        <w:tc>
          <w:tcPr>
            <w:tcW w:w="669" w:type="dxa"/>
            <w:tcBorders>
              <w:tl2br w:val="nil"/>
              <w:tr2bl w:val="nil"/>
            </w:tcBorders>
            <w:noWrap w:val="0"/>
            <w:vAlign w:val="center"/>
          </w:tcPr>
          <w:p w14:paraId="5D5EACC8">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黑体" w:hAnsi="黑体" w:eastAsia="黑体" w:cs="黑体"/>
                <w:color w:val="auto"/>
                <w:sz w:val="21"/>
                <w:szCs w:val="21"/>
                <w:highlight w:val="none"/>
                <w:vertAlign w:val="baseline"/>
                <w:lang w:val="en-US" w:eastAsia="zh-CN"/>
              </w:rPr>
            </w:pPr>
            <w:r>
              <w:rPr>
                <w:rFonts w:hint="eastAsia" w:ascii="黑体" w:hAnsi="黑体" w:eastAsia="黑体" w:cs="黑体"/>
                <w:color w:val="auto"/>
                <w:sz w:val="21"/>
                <w:szCs w:val="21"/>
                <w:highlight w:val="none"/>
                <w:vertAlign w:val="baseline"/>
                <w:lang w:val="en-US" w:eastAsia="zh-CN"/>
              </w:rPr>
              <w:t>计量单位</w:t>
            </w:r>
          </w:p>
        </w:tc>
        <w:tc>
          <w:tcPr>
            <w:tcW w:w="1322" w:type="dxa"/>
            <w:tcBorders>
              <w:tl2br w:val="nil"/>
              <w:tr2bl w:val="nil"/>
            </w:tcBorders>
            <w:noWrap w:val="0"/>
            <w:vAlign w:val="center"/>
          </w:tcPr>
          <w:p w14:paraId="58833088">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黑体" w:hAnsi="黑体" w:eastAsia="黑体" w:cs="黑体"/>
                <w:color w:val="auto"/>
                <w:sz w:val="21"/>
                <w:szCs w:val="21"/>
                <w:highlight w:val="none"/>
                <w:vertAlign w:val="baseline"/>
                <w:lang w:val="en-US" w:eastAsia="zh-CN"/>
              </w:rPr>
            </w:pPr>
            <w:r>
              <w:rPr>
                <w:rFonts w:hint="eastAsia" w:ascii="黑体" w:hAnsi="黑体" w:eastAsia="黑体" w:cs="黑体"/>
                <w:color w:val="auto"/>
                <w:sz w:val="21"/>
                <w:szCs w:val="21"/>
                <w:highlight w:val="none"/>
                <w:vertAlign w:val="baseline"/>
                <w:lang w:val="en-US" w:eastAsia="zh-CN"/>
              </w:rPr>
              <w:t>收费管理</w:t>
            </w:r>
          </w:p>
          <w:p w14:paraId="43E68B0D">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黑体" w:hAnsi="黑体" w:eastAsia="黑体" w:cs="黑体"/>
                <w:color w:val="auto"/>
                <w:sz w:val="21"/>
                <w:szCs w:val="21"/>
                <w:highlight w:val="none"/>
                <w:vertAlign w:val="baseline"/>
                <w:lang w:val="en-US" w:eastAsia="zh-CN"/>
              </w:rPr>
            </w:pPr>
            <w:r>
              <w:rPr>
                <w:rFonts w:hint="eastAsia" w:ascii="黑体" w:hAnsi="黑体" w:eastAsia="黑体" w:cs="黑体"/>
                <w:color w:val="auto"/>
                <w:sz w:val="21"/>
                <w:szCs w:val="21"/>
                <w:highlight w:val="none"/>
                <w:vertAlign w:val="baseline"/>
                <w:lang w:val="en-US" w:eastAsia="zh-CN"/>
              </w:rPr>
              <w:t>方式</w:t>
            </w:r>
          </w:p>
        </w:tc>
      </w:tr>
      <w:tr w14:paraId="4C7FA6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061" w:type="dxa"/>
            <w:gridSpan w:val="5"/>
            <w:tcBorders>
              <w:tl2br w:val="nil"/>
              <w:tr2bl w:val="nil"/>
            </w:tcBorders>
            <w:noWrap w:val="0"/>
            <w:vAlign w:val="center"/>
          </w:tcPr>
          <w:p w14:paraId="631242AD">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both"/>
              <w:textAlignment w:val="baseline"/>
              <w:rPr>
                <w:rFonts w:hint="eastAsia" w:ascii="黑体" w:hAnsi="黑体" w:eastAsia="黑体" w:cs="黑体"/>
                <w:color w:val="auto"/>
                <w:sz w:val="21"/>
                <w:szCs w:val="21"/>
                <w:highlight w:val="none"/>
                <w:vertAlign w:val="baseline"/>
                <w:lang w:val="en-US" w:eastAsia="zh-CN"/>
              </w:rPr>
            </w:pPr>
            <w:r>
              <w:rPr>
                <w:rFonts w:hint="eastAsia" w:ascii="CESI楷体-GB2312" w:hAnsi="CESI楷体-GB2312" w:eastAsia="CESI楷体-GB2312" w:cs="CESI楷体-GB2312"/>
                <w:color w:val="auto"/>
                <w:sz w:val="21"/>
                <w:szCs w:val="21"/>
                <w:highlight w:val="none"/>
                <w:vertAlign w:val="baseline"/>
                <w:lang w:val="en-US" w:eastAsia="zh-CN"/>
              </w:rPr>
              <w:t>一、丧葬日杂用品</w:t>
            </w:r>
          </w:p>
        </w:tc>
      </w:tr>
      <w:tr w14:paraId="446D91C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tcBorders>
              <w:tl2br w:val="nil"/>
              <w:tr2bl w:val="nil"/>
            </w:tcBorders>
            <w:noWrap w:val="0"/>
            <w:vAlign w:val="center"/>
          </w:tcPr>
          <w:p w14:paraId="4C936039">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tcBorders>
              <w:tl2br w:val="nil"/>
              <w:tr2bl w:val="nil"/>
            </w:tcBorders>
            <w:noWrap w:val="0"/>
            <w:vAlign w:val="center"/>
          </w:tcPr>
          <w:p w14:paraId="7DB5912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白酒</w:t>
            </w:r>
          </w:p>
        </w:tc>
        <w:tc>
          <w:tcPr>
            <w:tcW w:w="5111" w:type="dxa"/>
            <w:tcBorders>
              <w:tl2br w:val="nil"/>
              <w:tr2bl w:val="nil"/>
            </w:tcBorders>
            <w:noWrap w:val="0"/>
            <w:vAlign w:val="center"/>
          </w:tcPr>
          <w:p w14:paraId="2150680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一斤装祭祀专用酒(白色瓷瓶)。</w:t>
            </w:r>
          </w:p>
        </w:tc>
        <w:tc>
          <w:tcPr>
            <w:tcW w:w="669" w:type="dxa"/>
            <w:tcBorders>
              <w:tl2br w:val="nil"/>
              <w:tr2bl w:val="nil"/>
            </w:tcBorders>
            <w:noWrap w:val="0"/>
            <w:vAlign w:val="center"/>
          </w:tcPr>
          <w:p w14:paraId="576AA16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1瓶</w:t>
            </w:r>
          </w:p>
        </w:tc>
        <w:tc>
          <w:tcPr>
            <w:tcW w:w="1322" w:type="dxa"/>
            <w:tcBorders>
              <w:tl2br w:val="nil"/>
              <w:tr2bl w:val="nil"/>
            </w:tcBorders>
            <w:noWrap w:val="0"/>
            <w:vAlign w:val="center"/>
          </w:tcPr>
          <w:p w14:paraId="4DE12C07">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055FE8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tcBorders>
              <w:tl2br w:val="nil"/>
              <w:tr2bl w:val="nil"/>
            </w:tcBorders>
            <w:noWrap w:val="0"/>
            <w:vAlign w:val="center"/>
          </w:tcPr>
          <w:p w14:paraId="3EEBE20B">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tcBorders>
              <w:tl2br w:val="nil"/>
              <w:tr2bl w:val="nil"/>
            </w:tcBorders>
            <w:noWrap w:val="0"/>
            <w:vAlign w:val="center"/>
          </w:tcPr>
          <w:p w14:paraId="5268F4C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金刚砂</w:t>
            </w:r>
          </w:p>
        </w:tc>
        <w:tc>
          <w:tcPr>
            <w:tcW w:w="5111" w:type="dxa"/>
            <w:tcBorders>
              <w:tl2br w:val="nil"/>
              <w:tr2bl w:val="nil"/>
            </w:tcBorders>
            <w:noWrap w:val="0"/>
            <w:vAlign w:val="center"/>
          </w:tcPr>
          <w:p w14:paraId="772C425A">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highlight w:val="none"/>
                <w:u w:val="none"/>
                <w:lang w:val="en-US" w:eastAsia="zh-CN" w:bidi="ar"/>
              </w:rPr>
              <w:t>（1）尺寸:长120毫米、宽120毫米。</w:t>
            </w:r>
          </w:p>
          <w:p w14:paraId="5342DABB">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highlight w:val="none"/>
                <w:u w:val="none"/>
                <w:lang w:val="en-US" w:eastAsia="zh-CN" w:bidi="ar"/>
              </w:rPr>
              <w:t>（2）外观材质:上香专用金玉明沙、黄色、约3两。</w:t>
            </w:r>
          </w:p>
        </w:tc>
        <w:tc>
          <w:tcPr>
            <w:tcW w:w="669" w:type="dxa"/>
            <w:tcBorders>
              <w:tl2br w:val="nil"/>
              <w:tr2bl w:val="nil"/>
            </w:tcBorders>
            <w:noWrap w:val="0"/>
            <w:vAlign w:val="center"/>
          </w:tcPr>
          <w:p w14:paraId="15D185C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1代</w:t>
            </w:r>
          </w:p>
        </w:tc>
        <w:tc>
          <w:tcPr>
            <w:tcW w:w="1322" w:type="dxa"/>
            <w:tcBorders>
              <w:tl2br w:val="nil"/>
              <w:tr2bl w:val="nil"/>
            </w:tcBorders>
            <w:noWrap w:val="0"/>
            <w:vAlign w:val="center"/>
          </w:tcPr>
          <w:p w14:paraId="5797FE0C">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kern w:val="2"/>
                <w:sz w:val="21"/>
                <w:szCs w:val="21"/>
                <w:highlight w:val="none"/>
                <w:vertAlign w:val="baseline"/>
                <w:lang w:val="en-US" w:eastAsia="zh-CN" w:bidi="ar-SA"/>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319392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tcBorders>
              <w:tl2br w:val="nil"/>
              <w:tr2bl w:val="nil"/>
            </w:tcBorders>
            <w:noWrap w:val="0"/>
            <w:vAlign w:val="center"/>
          </w:tcPr>
          <w:p w14:paraId="0FDBD729">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tcBorders>
              <w:tl2br w:val="nil"/>
              <w:tr2bl w:val="nil"/>
            </w:tcBorders>
            <w:noWrap w:val="0"/>
            <w:vAlign w:val="center"/>
          </w:tcPr>
          <w:p w14:paraId="64860B8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Style w:val="9"/>
                <w:rFonts w:hint="eastAsia" w:ascii="仿宋_GB2312" w:hAnsi="仿宋_GB2312" w:eastAsia="仿宋_GB2312" w:cs="仿宋_GB2312"/>
                <w:color w:val="auto"/>
                <w:sz w:val="21"/>
                <w:szCs w:val="21"/>
                <w:highlight w:val="none"/>
                <w:lang w:val="en-US" w:eastAsia="zh-CN" w:bidi="ar"/>
              </w:rPr>
              <w:t>香</w:t>
            </w:r>
          </w:p>
        </w:tc>
        <w:tc>
          <w:tcPr>
            <w:tcW w:w="5111" w:type="dxa"/>
            <w:tcBorders>
              <w:tl2br w:val="nil"/>
              <w:tr2bl w:val="nil"/>
            </w:tcBorders>
            <w:noWrap w:val="0"/>
            <w:vAlign w:val="center"/>
          </w:tcPr>
          <w:p w14:paraId="7B987A3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highlight w:val="none"/>
                <w:u w:val="none"/>
                <w:lang w:val="en-US" w:eastAsia="zh-CN" w:bidi="ar"/>
              </w:rPr>
              <w:t>尺寸:长230毫米、每捆5包。</w:t>
            </w:r>
          </w:p>
        </w:tc>
        <w:tc>
          <w:tcPr>
            <w:tcW w:w="669" w:type="dxa"/>
            <w:tcBorders>
              <w:tl2br w:val="nil"/>
              <w:tr2bl w:val="nil"/>
            </w:tcBorders>
            <w:noWrap w:val="0"/>
            <w:vAlign w:val="center"/>
          </w:tcPr>
          <w:p w14:paraId="705280F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1</w:t>
            </w:r>
            <w:r>
              <w:rPr>
                <w:rStyle w:val="9"/>
                <w:rFonts w:hint="eastAsia" w:ascii="仿宋_GB2312" w:hAnsi="仿宋_GB2312" w:eastAsia="仿宋_GB2312" w:cs="仿宋_GB2312"/>
                <w:color w:val="auto"/>
                <w:sz w:val="21"/>
                <w:szCs w:val="21"/>
                <w:highlight w:val="none"/>
                <w:lang w:val="en-US" w:eastAsia="zh-CN" w:bidi="ar"/>
              </w:rPr>
              <w:t>捆</w:t>
            </w:r>
          </w:p>
        </w:tc>
        <w:tc>
          <w:tcPr>
            <w:tcW w:w="1322" w:type="dxa"/>
            <w:tcBorders>
              <w:tl2br w:val="nil"/>
              <w:tr2bl w:val="nil"/>
            </w:tcBorders>
            <w:noWrap w:val="0"/>
            <w:vAlign w:val="center"/>
          </w:tcPr>
          <w:p w14:paraId="2DAD543A">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kern w:val="2"/>
                <w:sz w:val="21"/>
                <w:szCs w:val="21"/>
                <w:highlight w:val="none"/>
                <w:vertAlign w:val="baseline"/>
                <w:lang w:val="en-US" w:eastAsia="zh-CN" w:bidi="ar-SA"/>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225AE9C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tcBorders>
              <w:tl2br w:val="nil"/>
              <w:tr2bl w:val="nil"/>
            </w:tcBorders>
            <w:noWrap w:val="0"/>
            <w:vAlign w:val="center"/>
          </w:tcPr>
          <w:p w14:paraId="75DB127C">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tcBorders>
              <w:tl2br w:val="nil"/>
              <w:tr2bl w:val="nil"/>
            </w:tcBorders>
            <w:noWrap w:val="0"/>
            <w:vAlign w:val="center"/>
          </w:tcPr>
          <w:p w14:paraId="54071FD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Style w:val="9"/>
                <w:rFonts w:hint="eastAsia" w:ascii="仿宋_GB2312" w:hAnsi="仿宋_GB2312" w:eastAsia="仿宋_GB2312" w:cs="仿宋_GB2312"/>
                <w:color w:val="auto"/>
                <w:sz w:val="21"/>
                <w:szCs w:val="21"/>
                <w:highlight w:val="none"/>
                <w:lang w:val="en-US" w:eastAsia="zh-CN" w:bidi="ar"/>
              </w:rPr>
              <w:t>蜡烛</w:t>
            </w:r>
          </w:p>
        </w:tc>
        <w:tc>
          <w:tcPr>
            <w:tcW w:w="5111" w:type="dxa"/>
            <w:tcBorders>
              <w:tl2br w:val="nil"/>
              <w:tr2bl w:val="nil"/>
            </w:tcBorders>
            <w:noWrap w:val="0"/>
            <w:vAlign w:val="center"/>
          </w:tcPr>
          <w:p w14:paraId="73B9437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highlight w:val="none"/>
                <w:u w:val="none"/>
                <w:lang w:val="en-US" w:eastAsia="zh-CN" w:bidi="ar"/>
              </w:rPr>
              <w:t>（1）尺寸:每个高75毫米、直径45毫米。</w:t>
            </w:r>
          </w:p>
          <w:p w14:paraId="241E5EE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highlight w:val="none"/>
                <w:u w:val="none"/>
                <w:lang w:val="en-US" w:eastAsia="zh-CN" w:bidi="ar"/>
              </w:rPr>
              <w:t>（2）材质外观;白色防风蜡、带金黄色铝座。</w:t>
            </w:r>
          </w:p>
        </w:tc>
        <w:tc>
          <w:tcPr>
            <w:tcW w:w="669" w:type="dxa"/>
            <w:tcBorders>
              <w:tl2br w:val="nil"/>
              <w:tr2bl w:val="nil"/>
            </w:tcBorders>
            <w:noWrap w:val="0"/>
            <w:vAlign w:val="center"/>
          </w:tcPr>
          <w:p w14:paraId="4800064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1</w:t>
            </w:r>
            <w:r>
              <w:rPr>
                <w:rStyle w:val="9"/>
                <w:rFonts w:hint="eastAsia" w:ascii="仿宋_GB2312" w:hAnsi="仿宋_GB2312" w:eastAsia="仿宋_GB2312" w:cs="仿宋_GB2312"/>
                <w:color w:val="auto"/>
                <w:sz w:val="21"/>
                <w:szCs w:val="21"/>
                <w:highlight w:val="none"/>
                <w:lang w:val="en-US" w:eastAsia="zh-CN" w:bidi="ar"/>
              </w:rPr>
              <w:t>个</w:t>
            </w:r>
          </w:p>
        </w:tc>
        <w:tc>
          <w:tcPr>
            <w:tcW w:w="1322" w:type="dxa"/>
            <w:tcBorders>
              <w:tl2br w:val="nil"/>
              <w:tr2bl w:val="nil"/>
            </w:tcBorders>
            <w:noWrap w:val="0"/>
            <w:vAlign w:val="center"/>
          </w:tcPr>
          <w:p w14:paraId="3FF3FA42">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kern w:val="2"/>
                <w:sz w:val="21"/>
                <w:szCs w:val="21"/>
                <w:highlight w:val="none"/>
                <w:vertAlign w:val="baseline"/>
                <w:lang w:val="en-US" w:eastAsia="zh-CN" w:bidi="ar-SA"/>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2BD96E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tcBorders>
              <w:tl2br w:val="nil"/>
              <w:tr2bl w:val="nil"/>
            </w:tcBorders>
            <w:noWrap w:val="0"/>
            <w:vAlign w:val="center"/>
          </w:tcPr>
          <w:p w14:paraId="3AC910FE">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tcBorders>
              <w:tl2br w:val="nil"/>
              <w:tr2bl w:val="nil"/>
            </w:tcBorders>
            <w:noWrap w:val="0"/>
            <w:vAlign w:val="center"/>
          </w:tcPr>
          <w:p w14:paraId="6258AFE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香炉</w:t>
            </w:r>
          </w:p>
        </w:tc>
        <w:tc>
          <w:tcPr>
            <w:tcW w:w="5111" w:type="dxa"/>
            <w:tcBorders>
              <w:tl2br w:val="nil"/>
              <w:tr2bl w:val="nil"/>
            </w:tcBorders>
            <w:noWrap w:val="0"/>
            <w:vAlign w:val="center"/>
          </w:tcPr>
          <w:p w14:paraId="258E809D">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highlight w:val="none"/>
                <w:u w:val="none"/>
                <w:lang w:val="en-US" w:eastAsia="zh-CN" w:bidi="ar"/>
              </w:rPr>
              <w:t>（1）尺寸:碗口直径80毫米、高100毫米。</w:t>
            </w:r>
          </w:p>
          <w:p w14:paraId="1C3E507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highlight w:val="none"/>
                <w:u w:val="none"/>
                <w:lang w:val="en-US" w:eastAsia="zh-CN" w:bidi="ar"/>
              </w:rPr>
              <w:t>（2）材质外观:陶瓷烧制三角古铜色香炉。</w:t>
            </w:r>
          </w:p>
        </w:tc>
        <w:tc>
          <w:tcPr>
            <w:tcW w:w="669" w:type="dxa"/>
            <w:tcBorders>
              <w:tl2br w:val="nil"/>
              <w:tr2bl w:val="nil"/>
            </w:tcBorders>
            <w:noWrap w:val="0"/>
            <w:vAlign w:val="center"/>
          </w:tcPr>
          <w:p w14:paraId="7B80AED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1个</w:t>
            </w:r>
          </w:p>
        </w:tc>
        <w:tc>
          <w:tcPr>
            <w:tcW w:w="1322" w:type="dxa"/>
            <w:tcBorders>
              <w:tl2br w:val="nil"/>
              <w:tr2bl w:val="nil"/>
            </w:tcBorders>
            <w:noWrap w:val="0"/>
            <w:vAlign w:val="center"/>
          </w:tcPr>
          <w:p w14:paraId="64683134">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kern w:val="2"/>
                <w:sz w:val="21"/>
                <w:szCs w:val="21"/>
                <w:highlight w:val="none"/>
                <w:vertAlign w:val="baseline"/>
                <w:lang w:val="en-US" w:eastAsia="zh-CN" w:bidi="ar-SA"/>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21D038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tcBorders>
              <w:tl2br w:val="nil"/>
              <w:tr2bl w:val="nil"/>
            </w:tcBorders>
            <w:noWrap w:val="0"/>
            <w:vAlign w:val="center"/>
          </w:tcPr>
          <w:p w14:paraId="5EAEC4A9">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tcBorders>
              <w:tl2br w:val="nil"/>
              <w:tr2bl w:val="nil"/>
            </w:tcBorders>
            <w:noWrap w:val="0"/>
            <w:vAlign w:val="center"/>
          </w:tcPr>
          <w:p w14:paraId="0D293D8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小灵位</w:t>
            </w:r>
          </w:p>
        </w:tc>
        <w:tc>
          <w:tcPr>
            <w:tcW w:w="5111" w:type="dxa"/>
            <w:tcBorders>
              <w:tl2br w:val="nil"/>
              <w:tr2bl w:val="nil"/>
            </w:tcBorders>
            <w:noWrap w:val="0"/>
            <w:vAlign w:val="center"/>
          </w:tcPr>
          <w:p w14:paraId="252EC160">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highlight w:val="none"/>
                <w:u w:val="none"/>
                <w:lang w:val="en-US" w:eastAsia="zh-CN" w:bidi="ar"/>
              </w:rPr>
              <w:t>（1）尺寸：高22cm，宽110毫米左右。</w:t>
            </w:r>
          </w:p>
          <w:p w14:paraId="002AD377">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highlight w:val="none"/>
                <w:u w:val="none"/>
                <w:lang w:val="en-US" w:eastAsia="zh-CN" w:bidi="ar"/>
              </w:rPr>
              <w:t>（2）材质外观：塑料制品。</w:t>
            </w:r>
          </w:p>
        </w:tc>
        <w:tc>
          <w:tcPr>
            <w:tcW w:w="669" w:type="dxa"/>
            <w:tcBorders>
              <w:tl2br w:val="nil"/>
              <w:tr2bl w:val="nil"/>
            </w:tcBorders>
            <w:noWrap w:val="0"/>
            <w:vAlign w:val="center"/>
          </w:tcPr>
          <w:p w14:paraId="5FBF9B0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1个</w:t>
            </w:r>
          </w:p>
        </w:tc>
        <w:tc>
          <w:tcPr>
            <w:tcW w:w="1322" w:type="dxa"/>
            <w:tcBorders>
              <w:tl2br w:val="nil"/>
              <w:tr2bl w:val="nil"/>
            </w:tcBorders>
            <w:noWrap w:val="0"/>
            <w:vAlign w:val="center"/>
          </w:tcPr>
          <w:p w14:paraId="446D04D8">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kern w:val="2"/>
                <w:sz w:val="21"/>
                <w:szCs w:val="21"/>
                <w:highlight w:val="none"/>
                <w:vertAlign w:val="baseline"/>
                <w:lang w:val="en-US" w:eastAsia="zh-CN" w:bidi="ar-SA"/>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430830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tcBorders>
              <w:tl2br w:val="nil"/>
              <w:tr2bl w:val="nil"/>
            </w:tcBorders>
            <w:noWrap w:val="0"/>
            <w:vAlign w:val="center"/>
          </w:tcPr>
          <w:p w14:paraId="4E75EA96">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tcBorders>
              <w:tl2br w:val="nil"/>
              <w:tr2bl w:val="nil"/>
            </w:tcBorders>
            <w:noWrap w:val="0"/>
            <w:vAlign w:val="center"/>
          </w:tcPr>
          <w:p w14:paraId="7BE292F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泥盆</w:t>
            </w:r>
          </w:p>
        </w:tc>
        <w:tc>
          <w:tcPr>
            <w:tcW w:w="5111" w:type="dxa"/>
            <w:tcBorders>
              <w:tl2br w:val="nil"/>
              <w:tr2bl w:val="nil"/>
            </w:tcBorders>
            <w:noWrap w:val="0"/>
            <w:vAlign w:val="center"/>
          </w:tcPr>
          <w:p w14:paraId="558457D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highlight w:val="none"/>
                <w:u w:val="none"/>
                <w:lang w:val="en-US" w:eastAsia="zh-CN" w:bidi="ar"/>
              </w:rPr>
              <w:t>（1）尺寸：宽310毫米，高100毫米。</w:t>
            </w:r>
          </w:p>
          <w:p w14:paraId="4E96FD8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highlight w:val="none"/>
                <w:u w:val="none"/>
                <w:lang w:val="en-US" w:eastAsia="zh-CN" w:bidi="ar"/>
              </w:rPr>
              <w:t>（2）材质外观：黄泥提炼而成。</w:t>
            </w:r>
          </w:p>
        </w:tc>
        <w:tc>
          <w:tcPr>
            <w:tcW w:w="669" w:type="dxa"/>
            <w:tcBorders>
              <w:tl2br w:val="nil"/>
              <w:tr2bl w:val="nil"/>
            </w:tcBorders>
            <w:noWrap w:val="0"/>
            <w:vAlign w:val="center"/>
          </w:tcPr>
          <w:p w14:paraId="59EB90D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1个</w:t>
            </w:r>
          </w:p>
        </w:tc>
        <w:tc>
          <w:tcPr>
            <w:tcW w:w="1322" w:type="dxa"/>
            <w:tcBorders>
              <w:tl2br w:val="nil"/>
              <w:tr2bl w:val="nil"/>
            </w:tcBorders>
            <w:noWrap w:val="0"/>
            <w:vAlign w:val="center"/>
          </w:tcPr>
          <w:p w14:paraId="1597987E">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kern w:val="2"/>
                <w:sz w:val="21"/>
                <w:szCs w:val="21"/>
                <w:highlight w:val="none"/>
                <w:vertAlign w:val="baseline"/>
                <w:lang w:val="en-US" w:eastAsia="zh-CN" w:bidi="ar-SA"/>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3621ED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tcBorders>
              <w:tl2br w:val="nil"/>
              <w:tr2bl w:val="nil"/>
            </w:tcBorders>
            <w:noWrap w:val="0"/>
            <w:vAlign w:val="center"/>
          </w:tcPr>
          <w:p w14:paraId="234BE0D3">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tcBorders>
              <w:tl2br w:val="nil"/>
              <w:tr2bl w:val="nil"/>
            </w:tcBorders>
            <w:noWrap w:val="0"/>
            <w:vAlign w:val="center"/>
          </w:tcPr>
          <w:p w14:paraId="5FE463F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红绳</w:t>
            </w:r>
          </w:p>
        </w:tc>
        <w:tc>
          <w:tcPr>
            <w:tcW w:w="5111" w:type="dxa"/>
            <w:tcBorders>
              <w:tl2br w:val="nil"/>
              <w:tr2bl w:val="nil"/>
            </w:tcBorders>
            <w:noWrap w:val="0"/>
            <w:vAlign w:val="center"/>
          </w:tcPr>
          <w:p w14:paraId="18C35DDE">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highlight w:val="none"/>
                <w:u w:val="none"/>
                <w:lang w:val="en-US" w:eastAsia="zh-CN" w:bidi="ar"/>
              </w:rPr>
              <w:t>（1）尺寸：18-20cm。</w:t>
            </w:r>
          </w:p>
          <w:p w14:paraId="07C4E130">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（2）材质外观：尼龙。</w:t>
            </w:r>
          </w:p>
        </w:tc>
        <w:tc>
          <w:tcPr>
            <w:tcW w:w="669" w:type="dxa"/>
            <w:tcBorders>
              <w:tl2br w:val="nil"/>
              <w:tr2bl w:val="nil"/>
            </w:tcBorders>
            <w:noWrap w:val="0"/>
            <w:vAlign w:val="center"/>
          </w:tcPr>
          <w:p w14:paraId="590205F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1条</w:t>
            </w:r>
          </w:p>
        </w:tc>
        <w:tc>
          <w:tcPr>
            <w:tcW w:w="1322" w:type="dxa"/>
            <w:tcBorders>
              <w:tl2br w:val="nil"/>
              <w:tr2bl w:val="nil"/>
            </w:tcBorders>
            <w:noWrap w:val="0"/>
            <w:vAlign w:val="center"/>
          </w:tcPr>
          <w:p w14:paraId="5575EB79">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73E0EC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tcBorders>
              <w:tl2br w:val="nil"/>
              <w:tr2bl w:val="nil"/>
            </w:tcBorders>
            <w:noWrap w:val="0"/>
            <w:vAlign w:val="center"/>
          </w:tcPr>
          <w:p w14:paraId="57C77DCA">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tcBorders>
              <w:tl2br w:val="nil"/>
              <w:tr2bl w:val="nil"/>
            </w:tcBorders>
            <w:noWrap w:val="0"/>
            <w:vAlign w:val="center"/>
          </w:tcPr>
          <w:p w14:paraId="067BBFC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线手套</w:t>
            </w:r>
          </w:p>
        </w:tc>
        <w:tc>
          <w:tcPr>
            <w:tcW w:w="5111" w:type="dxa"/>
            <w:tcBorders>
              <w:tl2br w:val="nil"/>
              <w:tr2bl w:val="nil"/>
            </w:tcBorders>
            <w:noWrap w:val="0"/>
            <w:vAlign w:val="center"/>
          </w:tcPr>
          <w:p w14:paraId="4EA5B95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320克/捆，12副/捆，65捆/包。</w:t>
            </w:r>
          </w:p>
        </w:tc>
        <w:tc>
          <w:tcPr>
            <w:tcW w:w="669" w:type="dxa"/>
            <w:tcBorders>
              <w:tl2br w:val="nil"/>
              <w:tr2bl w:val="nil"/>
            </w:tcBorders>
            <w:noWrap w:val="0"/>
            <w:vAlign w:val="center"/>
          </w:tcPr>
          <w:p w14:paraId="2A193D0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1付</w:t>
            </w:r>
          </w:p>
        </w:tc>
        <w:tc>
          <w:tcPr>
            <w:tcW w:w="1322" w:type="dxa"/>
            <w:tcBorders>
              <w:tl2br w:val="nil"/>
              <w:tr2bl w:val="nil"/>
            </w:tcBorders>
            <w:noWrap w:val="0"/>
            <w:vAlign w:val="center"/>
          </w:tcPr>
          <w:p w14:paraId="7A182D5F">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31D684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tcBorders>
              <w:tl2br w:val="nil"/>
              <w:tr2bl w:val="nil"/>
            </w:tcBorders>
            <w:noWrap w:val="0"/>
            <w:vAlign w:val="center"/>
          </w:tcPr>
          <w:p w14:paraId="3C62D466">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tcBorders>
              <w:tl2br w:val="nil"/>
              <w:tr2bl w:val="nil"/>
            </w:tcBorders>
            <w:noWrap w:val="0"/>
            <w:vAlign w:val="center"/>
          </w:tcPr>
          <w:p w14:paraId="3E5BB89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Style w:val="9"/>
                <w:rFonts w:hint="eastAsia" w:ascii="仿宋_GB2312" w:hAnsi="仿宋_GB2312" w:eastAsia="仿宋_GB2312" w:cs="仿宋_GB2312"/>
                <w:color w:val="auto"/>
                <w:sz w:val="21"/>
                <w:szCs w:val="21"/>
                <w:highlight w:val="none"/>
                <w:lang w:val="en-US" w:eastAsia="zh-CN" w:bidi="ar"/>
              </w:rPr>
              <w:t>耐火垫</w:t>
            </w:r>
          </w:p>
        </w:tc>
        <w:tc>
          <w:tcPr>
            <w:tcW w:w="5111" w:type="dxa"/>
            <w:tcBorders>
              <w:tl2br w:val="nil"/>
              <w:tr2bl w:val="nil"/>
            </w:tcBorders>
            <w:noWrap w:val="0"/>
            <w:vAlign w:val="center"/>
          </w:tcPr>
          <w:p w14:paraId="694DFE9D">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厚度高于3毫米必须封边，宽度600毫米，长1980毫米，耐火垫上必须有温度方便火化工操作。遗体火化完，家属捡完骨灰后，保证耐火垫不破碎，保证火化工能将用完的耐火垫卷起来统一处理。</w:t>
            </w:r>
          </w:p>
        </w:tc>
        <w:tc>
          <w:tcPr>
            <w:tcW w:w="669" w:type="dxa"/>
            <w:tcBorders>
              <w:tl2br w:val="nil"/>
              <w:tr2bl w:val="nil"/>
            </w:tcBorders>
            <w:noWrap w:val="0"/>
            <w:vAlign w:val="center"/>
          </w:tcPr>
          <w:p w14:paraId="7A4FE92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1个</w:t>
            </w:r>
          </w:p>
        </w:tc>
        <w:tc>
          <w:tcPr>
            <w:tcW w:w="1322" w:type="dxa"/>
            <w:tcBorders>
              <w:tl2br w:val="nil"/>
              <w:tr2bl w:val="nil"/>
            </w:tcBorders>
            <w:noWrap w:val="0"/>
            <w:vAlign w:val="center"/>
          </w:tcPr>
          <w:p w14:paraId="57814C30">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54421B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tcBorders>
              <w:tl2br w:val="nil"/>
              <w:tr2bl w:val="nil"/>
            </w:tcBorders>
            <w:noWrap w:val="0"/>
            <w:vAlign w:val="center"/>
          </w:tcPr>
          <w:p w14:paraId="376F93D6">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tcBorders>
              <w:tl2br w:val="nil"/>
              <w:tr2bl w:val="nil"/>
            </w:tcBorders>
            <w:noWrap w:val="0"/>
            <w:vAlign w:val="center"/>
          </w:tcPr>
          <w:p w14:paraId="2FDF947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Style w:val="10"/>
                <w:rFonts w:hint="eastAsia" w:ascii="仿宋_GB2312" w:hAnsi="仿宋_GB2312" w:eastAsia="仿宋_GB2312" w:cs="仿宋_GB2312"/>
                <w:color w:val="auto"/>
                <w:sz w:val="21"/>
                <w:szCs w:val="21"/>
                <w:highlight w:val="none"/>
                <w:lang w:val="en-US" w:eastAsia="zh-CN" w:bidi="ar"/>
              </w:rPr>
              <w:t>一片孝心</w:t>
            </w:r>
          </w:p>
        </w:tc>
        <w:tc>
          <w:tcPr>
            <w:tcW w:w="5111" w:type="dxa"/>
            <w:tcBorders>
              <w:tl2br w:val="nil"/>
              <w:tr2bl w:val="nil"/>
            </w:tcBorders>
            <w:noWrap w:val="0"/>
            <w:vAlign w:val="center"/>
          </w:tcPr>
          <w:p w14:paraId="38F9A595">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材质，真丝贡缎；尺寸：1300mm*130mm；腰身金色刺绣元宝和铜钱，中间彩色刺绣花朵和金色刺绣福字；腰身两边加15cm金丝流苏穗子。</w:t>
            </w:r>
          </w:p>
        </w:tc>
        <w:tc>
          <w:tcPr>
            <w:tcW w:w="669" w:type="dxa"/>
            <w:tcBorders>
              <w:tl2br w:val="nil"/>
              <w:tr2bl w:val="nil"/>
            </w:tcBorders>
            <w:noWrap w:val="0"/>
            <w:vAlign w:val="center"/>
          </w:tcPr>
          <w:p w14:paraId="3906862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1块</w:t>
            </w:r>
          </w:p>
        </w:tc>
        <w:tc>
          <w:tcPr>
            <w:tcW w:w="1322" w:type="dxa"/>
            <w:tcBorders>
              <w:tl2br w:val="nil"/>
              <w:tr2bl w:val="nil"/>
            </w:tcBorders>
            <w:noWrap w:val="0"/>
            <w:vAlign w:val="center"/>
          </w:tcPr>
          <w:p w14:paraId="3E5A0D75">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417F5AF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tcBorders>
              <w:tl2br w:val="nil"/>
              <w:tr2bl w:val="nil"/>
            </w:tcBorders>
            <w:noWrap w:val="0"/>
            <w:vAlign w:val="center"/>
          </w:tcPr>
          <w:p w14:paraId="378F1A1A">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tcBorders>
              <w:tl2br w:val="nil"/>
              <w:tr2bl w:val="nil"/>
            </w:tcBorders>
            <w:noWrap w:val="0"/>
            <w:vAlign w:val="center"/>
          </w:tcPr>
          <w:p w14:paraId="75CF5CF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Style w:val="10"/>
                <w:rFonts w:hint="eastAsia" w:ascii="仿宋_GB2312" w:hAnsi="仿宋_GB2312" w:eastAsia="仿宋_GB2312" w:cs="仿宋_GB2312"/>
                <w:color w:val="auto"/>
                <w:sz w:val="21"/>
                <w:szCs w:val="21"/>
                <w:highlight w:val="none"/>
                <w:lang w:val="en-US" w:eastAsia="zh-CN" w:bidi="ar"/>
              </w:rPr>
              <w:t>消毒巾</w:t>
            </w:r>
          </w:p>
        </w:tc>
        <w:tc>
          <w:tcPr>
            <w:tcW w:w="5111" w:type="dxa"/>
            <w:tcBorders>
              <w:tl2br w:val="nil"/>
              <w:tr2bl w:val="nil"/>
            </w:tcBorders>
            <w:noWrap w:val="0"/>
            <w:vAlign w:val="center"/>
          </w:tcPr>
          <w:p w14:paraId="0637AA4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消毒巾由纳米230*230花巾，西吡氯铵，75度酒精浸泡，一包4片，每包都是独立包装。</w:t>
            </w:r>
          </w:p>
        </w:tc>
        <w:tc>
          <w:tcPr>
            <w:tcW w:w="669" w:type="dxa"/>
            <w:tcBorders>
              <w:tl2br w:val="nil"/>
              <w:tr2bl w:val="nil"/>
            </w:tcBorders>
            <w:noWrap w:val="0"/>
            <w:vAlign w:val="center"/>
          </w:tcPr>
          <w:p w14:paraId="27C3F44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1包</w:t>
            </w:r>
          </w:p>
        </w:tc>
        <w:tc>
          <w:tcPr>
            <w:tcW w:w="1322" w:type="dxa"/>
            <w:tcBorders>
              <w:tl2br w:val="nil"/>
              <w:tr2bl w:val="nil"/>
            </w:tcBorders>
            <w:noWrap w:val="0"/>
            <w:vAlign w:val="center"/>
          </w:tcPr>
          <w:p w14:paraId="37668CDB">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395593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tcBorders>
              <w:tl2br w:val="nil"/>
              <w:tr2bl w:val="nil"/>
            </w:tcBorders>
            <w:noWrap w:val="0"/>
            <w:vAlign w:val="center"/>
          </w:tcPr>
          <w:p w14:paraId="3C3A9223">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tcBorders>
              <w:tl2br w:val="nil"/>
              <w:tr2bl w:val="nil"/>
            </w:tcBorders>
            <w:noWrap w:val="0"/>
            <w:vAlign w:val="center"/>
          </w:tcPr>
          <w:p w14:paraId="27085B6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Style w:val="10"/>
                <w:rFonts w:hint="eastAsia" w:ascii="仿宋_GB2312" w:hAnsi="仿宋_GB2312" w:eastAsia="仿宋_GB2312" w:cs="仿宋_GB2312"/>
                <w:color w:val="auto"/>
                <w:sz w:val="21"/>
                <w:szCs w:val="21"/>
                <w:highlight w:val="none"/>
                <w:lang w:val="en-US" w:eastAsia="zh-CN" w:bidi="ar"/>
              </w:rPr>
              <w:t>金踏</w:t>
            </w:r>
          </w:p>
        </w:tc>
        <w:tc>
          <w:tcPr>
            <w:tcW w:w="5111" w:type="dxa"/>
            <w:tcBorders>
              <w:tl2br w:val="nil"/>
              <w:tr2bl w:val="nil"/>
            </w:tcBorders>
            <w:noWrap w:val="0"/>
            <w:vAlign w:val="center"/>
          </w:tcPr>
          <w:p w14:paraId="39EE3297">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highlight w:val="none"/>
                <w:u w:val="none"/>
                <w:lang w:val="en-US" w:eastAsia="zh-CN" w:bidi="ar"/>
              </w:rPr>
              <w:t>（1）尺寸：宽5.5-6cm，高5cm。</w:t>
            </w:r>
          </w:p>
          <w:p w14:paraId="30C76B8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（2）材质外观：陶瓷炼制而成（表面涂有金色喷漆）。</w:t>
            </w:r>
          </w:p>
        </w:tc>
        <w:tc>
          <w:tcPr>
            <w:tcW w:w="669" w:type="dxa"/>
            <w:tcBorders>
              <w:tl2br w:val="nil"/>
              <w:tr2bl w:val="nil"/>
            </w:tcBorders>
            <w:noWrap w:val="0"/>
            <w:vAlign w:val="center"/>
          </w:tcPr>
          <w:p w14:paraId="6C95B4D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1个</w:t>
            </w:r>
          </w:p>
        </w:tc>
        <w:tc>
          <w:tcPr>
            <w:tcW w:w="1322" w:type="dxa"/>
            <w:tcBorders>
              <w:tl2br w:val="nil"/>
              <w:tr2bl w:val="nil"/>
            </w:tcBorders>
            <w:noWrap w:val="0"/>
            <w:vAlign w:val="center"/>
          </w:tcPr>
          <w:p w14:paraId="0D9F0FAC">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1D86FB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tcBorders>
              <w:tl2br w:val="nil"/>
              <w:tr2bl w:val="nil"/>
            </w:tcBorders>
            <w:noWrap w:val="0"/>
            <w:vAlign w:val="center"/>
          </w:tcPr>
          <w:p w14:paraId="2BA20F26">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tcBorders>
              <w:tl2br w:val="nil"/>
              <w:tr2bl w:val="nil"/>
            </w:tcBorders>
            <w:noWrap w:val="0"/>
            <w:vAlign w:val="center"/>
          </w:tcPr>
          <w:p w14:paraId="627CB67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Style w:val="10"/>
                <w:rFonts w:hint="eastAsia" w:ascii="仿宋_GB2312" w:hAnsi="仿宋_GB2312" w:eastAsia="仿宋_GB2312" w:cs="仿宋_GB2312"/>
                <w:color w:val="auto"/>
                <w:sz w:val="21"/>
                <w:szCs w:val="21"/>
                <w:highlight w:val="none"/>
                <w:lang w:val="en-US" w:eastAsia="zh-CN" w:bidi="ar"/>
              </w:rPr>
              <w:t>消毒毯</w:t>
            </w:r>
          </w:p>
        </w:tc>
        <w:tc>
          <w:tcPr>
            <w:tcW w:w="5111" w:type="dxa"/>
            <w:tcBorders>
              <w:tl2br w:val="nil"/>
              <w:tr2bl w:val="nil"/>
            </w:tcBorders>
            <w:noWrap w:val="0"/>
            <w:vAlign w:val="center"/>
          </w:tcPr>
          <w:p w14:paraId="6215105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消毒毯长2m,宽0.6m，纤维羊毛，综合消毒液及中药成分。</w:t>
            </w:r>
          </w:p>
        </w:tc>
        <w:tc>
          <w:tcPr>
            <w:tcW w:w="669" w:type="dxa"/>
            <w:tcBorders>
              <w:tl2br w:val="nil"/>
              <w:tr2bl w:val="nil"/>
            </w:tcBorders>
            <w:noWrap w:val="0"/>
            <w:vAlign w:val="center"/>
          </w:tcPr>
          <w:p w14:paraId="7D5CD2A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1个</w:t>
            </w:r>
          </w:p>
        </w:tc>
        <w:tc>
          <w:tcPr>
            <w:tcW w:w="1322" w:type="dxa"/>
            <w:tcBorders>
              <w:tl2br w:val="nil"/>
              <w:tr2bl w:val="nil"/>
            </w:tcBorders>
            <w:noWrap w:val="0"/>
            <w:vAlign w:val="center"/>
          </w:tcPr>
          <w:p w14:paraId="6CBEAC53">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4B863D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tcBorders>
              <w:tl2br w:val="nil"/>
              <w:tr2bl w:val="nil"/>
            </w:tcBorders>
            <w:noWrap w:val="0"/>
            <w:vAlign w:val="center"/>
          </w:tcPr>
          <w:p w14:paraId="0EBDF2EC">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tcBorders>
              <w:tl2br w:val="nil"/>
              <w:tr2bl w:val="nil"/>
            </w:tcBorders>
            <w:noWrap w:val="0"/>
            <w:vAlign w:val="center"/>
          </w:tcPr>
          <w:p w14:paraId="67A15B2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Style w:val="10"/>
                <w:rFonts w:hint="eastAsia" w:ascii="仿宋_GB2312" w:hAnsi="仿宋_GB2312" w:eastAsia="仿宋_GB2312" w:cs="仿宋_GB2312"/>
                <w:color w:val="auto"/>
                <w:sz w:val="21"/>
                <w:szCs w:val="21"/>
                <w:highlight w:val="none"/>
                <w:lang w:val="en-US" w:eastAsia="zh-CN" w:bidi="ar"/>
              </w:rPr>
              <w:t>骨灰托盘</w:t>
            </w:r>
          </w:p>
        </w:tc>
        <w:tc>
          <w:tcPr>
            <w:tcW w:w="5111" w:type="dxa"/>
            <w:tcBorders>
              <w:tl2br w:val="nil"/>
              <w:tr2bl w:val="nil"/>
            </w:tcBorders>
            <w:noWrap w:val="0"/>
            <w:vAlign w:val="center"/>
          </w:tcPr>
          <w:p w14:paraId="38ACD800">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highlight w:val="none"/>
                <w:u w:val="none"/>
                <w:lang w:val="en-US" w:eastAsia="zh-CN" w:bidi="ar"/>
              </w:rPr>
              <w:t>（1）材料：纳米材质；托盘内嵌有一层厚度约2mm的锡箔纸，防水防烫耐高温，“孝道”二字印在中间；托盘外一周印有“寿”字，整体高端大气。</w:t>
            </w:r>
          </w:p>
          <w:p w14:paraId="77C168B3">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（2）尺寸：长500-515mm，宽335-350mm，高90-105mm。</w:t>
            </w:r>
          </w:p>
        </w:tc>
        <w:tc>
          <w:tcPr>
            <w:tcW w:w="669" w:type="dxa"/>
            <w:tcBorders>
              <w:tl2br w:val="nil"/>
              <w:tr2bl w:val="nil"/>
            </w:tcBorders>
            <w:noWrap w:val="0"/>
            <w:vAlign w:val="center"/>
          </w:tcPr>
          <w:p w14:paraId="46E96B1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1个</w:t>
            </w:r>
          </w:p>
        </w:tc>
        <w:tc>
          <w:tcPr>
            <w:tcW w:w="1322" w:type="dxa"/>
            <w:tcBorders>
              <w:tl2br w:val="nil"/>
              <w:tr2bl w:val="nil"/>
            </w:tcBorders>
            <w:noWrap w:val="0"/>
            <w:vAlign w:val="center"/>
          </w:tcPr>
          <w:p w14:paraId="4CF3094B">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0123A4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tcBorders>
              <w:tl2br w:val="nil"/>
              <w:tr2bl w:val="nil"/>
            </w:tcBorders>
            <w:noWrap w:val="0"/>
            <w:vAlign w:val="center"/>
          </w:tcPr>
          <w:p w14:paraId="1D790507">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tcBorders>
              <w:tl2br w:val="nil"/>
              <w:tr2bl w:val="nil"/>
            </w:tcBorders>
            <w:noWrap w:val="0"/>
            <w:vAlign w:val="center"/>
          </w:tcPr>
          <w:p w14:paraId="2F5FE56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Style w:val="10"/>
                <w:rFonts w:hint="eastAsia" w:ascii="仿宋_GB2312" w:hAnsi="仿宋_GB2312" w:eastAsia="仿宋_GB2312" w:cs="仿宋_GB2312"/>
                <w:color w:val="auto"/>
                <w:sz w:val="21"/>
                <w:szCs w:val="21"/>
                <w:highlight w:val="none"/>
                <w:lang w:val="en-US" w:eastAsia="zh-CN" w:bidi="ar"/>
              </w:rPr>
              <w:t>小盖布</w:t>
            </w:r>
          </w:p>
        </w:tc>
        <w:tc>
          <w:tcPr>
            <w:tcW w:w="5111" w:type="dxa"/>
            <w:tcBorders>
              <w:tl2br w:val="nil"/>
              <w:tr2bl w:val="nil"/>
            </w:tcBorders>
            <w:noWrap w:val="0"/>
            <w:vAlign w:val="center"/>
          </w:tcPr>
          <w:p w14:paraId="2EE44EE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highlight w:val="none"/>
                <w:u w:val="none"/>
                <w:lang w:val="en-US" w:eastAsia="zh-CN" w:bidi="ar"/>
              </w:rPr>
              <w:t>（1）尺寸：长44cm，宽高34cm。</w:t>
            </w:r>
          </w:p>
          <w:p w14:paraId="33F0C9E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（2）材质外观：红布制作（印有金色“奠”字，四周缝有金色挂穗）。</w:t>
            </w:r>
          </w:p>
        </w:tc>
        <w:tc>
          <w:tcPr>
            <w:tcW w:w="669" w:type="dxa"/>
            <w:tcBorders>
              <w:tl2br w:val="nil"/>
              <w:tr2bl w:val="nil"/>
            </w:tcBorders>
            <w:noWrap w:val="0"/>
            <w:vAlign w:val="center"/>
          </w:tcPr>
          <w:p w14:paraId="20A48E0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1个</w:t>
            </w:r>
          </w:p>
        </w:tc>
        <w:tc>
          <w:tcPr>
            <w:tcW w:w="1322" w:type="dxa"/>
            <w:tcBorders>
              <w:tl2br w:val="nil"/>
              <w:tr2bl w:val="nil"/>
            </w:tcBorders>
            <w:noWrap w:val="0"/>
            <w:vAlign w:val="center"/>
          </w:tcPr>
          <w:p w14:paraId="54C018A1">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631BE0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tcBorders>
              <w:tl2br w:val="nil"/>
              <w:tr2bl w:val="nil"/>
            </w:tcBorders>
            <w:noWrap w:val="0"/>
            <w:vAlign w:val="center"/>
          </w:tcPr>
          <w:p w14:paraId="73DE0E0C">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tcBorders>
              <w:tl2br w:val="nil"/>
              <w:tr2bl w:val="nil"/>
            </w:tcBorders>
            <w:noWrap w:val="0"/>
            <w:vAlign w:val="center"/>
          </w:tcPr>
          <w:p w14:paraId="3D250A5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Style w:val="10"/>
                <w:rFonts w:hint="eastAsia" w:ascii="仿宋_GB2312" w:hAnsi="仿宋_GB2312" w:eastAsia="仿宋_GB2312" w:cs="仿宋_GB2312"/>
                <w:color w:val="auto"/>
                <w:sz w:val="21"/>
                <w:szCs w:val="21"/>
                <w:highlight w:val="none"/>
                <w:lang w:val="en-US" w:eastAsia="zh-CN" w:bidi="ar"/>
              </w:rPr>
              <w:t>红布</w:t>
            </w:r>
          </w:p>
        </w:tc>
        <w:tc>
          <w:tcPr>
            <w:tcW w:w="5111" w:type="dxa"/>
            <w:tcBorders>
              <w:tl2br w:val="nil"/>
              <w:tr2bl w:val="nil"/>
            </w:tcBorders>
            <w:noWrap w:val="0"/>
            <w:vAlign w:val="center"/>
          </w:tcPr>
          <w:p w14:paraId="2D4A4643">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红布要求纱支30*30，密度72*69，颜色要鲜亮，米数要足。</w:t>
            </w:r>
          </w:p>
        </w:tc>
        <w:tc>
          <w:tcPr>
            <w:tcW w:w="669" w:type="dxa"/>
            <w:tcBorders>
              <w:tl2br w:val="nil"/>
              <w:tr2bl w:val="nil"/>
            </w:tcBorders>
            <w:noWrap w:val="0"/>
            <w:vAlign w:val="center"/>
          </w:tcPr>
          <w:p w14:paraId="4D9A71D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1块</w:t>
            </w:r>
          </w:p>
        </w:tc>
        <w:tc>
          <w:tcPr>
            <w:tcW w:w="1322" w:type="dxa"/>
            <w:tcBorders>
              <w:tl2br w:val="nil"/>
              <w:tr2bl w:val="nil"/>
            </w:tcBorders>
            <w:noWrap w:val="0"/>
            <w:vAlign w:val="center"/>
          </w:tcPr>
          <w:p w14:paraId="6D462659">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461B20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tcBorders>
              <w:tl2br w:val="nil"/>
              <w:tr2bl w:val="nil"/>
            </w:tcBorders>
            <w:noWrap w:val="0"/>
            <w:vAlign w:val="center"/>
          </w:tcPr>
          <w:p w14:paraId="7968CC3C">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tcBorders>
              <w:tl2br w:val="nil"/>
              <w:tr2bl w:val="nil"/>
            </w:tcBorders>
            <w:noWrap w:val="0"/>
            <w:vAlign w:val="center"/>
          </w:tcPr>
          <w:p w14:paraId="128D3C1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Style w:val="10"/>
                <w:rFonts w:hint="eastAsia" w:ascii="仿宋_GB2312" w:hAnsi="仿宋_GB2312" w:eastAsia="仿宋_GB2312" w:cs="仿宋_GB2312"/>
                <w:color w:val="auto"/>
                <w:sz w:val="21"/>
                <w:szCs w:val="21"/>
                <w:highlight w:val="none"/>
                <w:lang w:val="en-US" w:eastAsia="zh-CN" w:bidi="ar"/>
              </w:rPr>
              <w:t>骨灰保护剂</w:t>
            </w:r>
          </w:p>
        </w:tc>
        <w:tc>
          <w:tcPr>
            <w:tcW w:w="5111" w:type="dxa"/>
            <w:tcBorders>
              <w:tl2br w:val="nil"/>
              <w:tr2bl w:val="nil"/>
            </w:tcBorders>
            <w:noWrap w:val="0"/>
            <w:vAlign w:val="center"/>
          </w:tcPr>
          <w:p w14:paraId="1017BBD3">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highlight w:val="none"/>
                <w:u w:val="none"/>
                <w:lang w:val="en-US" w:eastAsia="zh-CN" w:bidi="ar"/>
              </w:rPr>
              <w:t>（1）尺寸：宽12cm，高8cm。</w:t>
            </w:r>
          </w:p>
          <w:p w14:paraId="74F39E7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（2）材质外观：除菌防腐剂，干燥剂，重量15g。</w:t>
            </w:r>
          </w:p>
        </w:tc>
        <w:tc>
          <w:tcPr>
            <w:tcW w:w="669" w:type="dxa"/>
            <w:tcBorders>
              <w:tl2br w:val="nil"/>
              <w:tr2bl w:val="nil"/>
            </w:tcBorders>
            <w:noWrap w:val="0"/>
            <w:vAlign w:val="center"/>
          </w:tcPr>
          <w:p w14:paraId="1B6750A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1袋</w:t>
            </w:r>
          </w:p>
        </w:tc>
        <w:tc>
          <w:tcPr>
            <w:tcW w:w="1322" w:type="dxa"/>
            <w:tcBorders>
              <w:tl2br w:val="nil"/>
              <w:tr2bl w:val="nil"/>
            </w:tcBorders>
            <w:noWrap w:val="0"/>
            <w:vAlign w:val="center"/>
          </w:tcPr>
          <w:p w14:paraId="3417A135">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68C0FE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tcBorders>
              <w:tl2br w:val="nil"/>
              <w:tr2bl w:val="nil"/>
            </w:tcBorders>
            <w:noWrap w:val="0"/>
            <w:vAlign w:val="center"/>
          </w:tcPr>
          <w:p w14:paraId="3D335D36">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tcBorders>
              <w:tl2br w:val="nil"/>
              <w:tr2bl w:val="nil"/>
            </w:tcBorders>
            <w:noWrap w:val="0"/>
            <w:vAlign w:val="center"/>
          </w:tcPr>
          <w:p w14:paraId="21B3FC1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Style w:val="10"/>
                <w:rFonts w:hint="eastAsia" w:ascii="仿宋_GB2312" w:hAnsi="仿宋_GB2312" w:eastAsia="仿宋_GB2312" w:cs="仿宋_GB2312"/>
                <w:color w:val="auto"/>
                <w:sz w:val="21"/>
                <w:szCs w:val="21"/>
                <w:highlight w:val="none"/>
                <w:lang w:val="en-US" w:eastAsia="zh-CN" w:bidi="ar"/>
              </w:rPr>
              <w:t>拉宝车</w:t>
            </w:r>
          </w:p>
        </w:tc>
        <w:tc>
          <w:tcPr>
            <w:tcW w:w="5111" w:type="dxa"/>
            <w:tcBorders>
              <w:tl2br w:val="nil"/>
              <w:tr2bl w:val="nil"/>
            </w:tcBorders>
            <w:noWrap w:val="0"/>
            <w:vAlign w:val="center"/>
          </w:tcPr>
          <w:p w14:paraId="78FC4F7A">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highlight w:val="none"/>
                <w:u w:val="none"/>
                <w:lang w:val="en-US" w:eastAsia="zh-CN" w:bidi="ar"/>
              </w:rPr>
              <w:t>（1）尺寸：宽9cm，高6cm。</w:t>
            </w:r>
          </w:p>
          <w:p w14:paraId="68C51E2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（2）材质外观：陶瓷炼制而成（表面涂有金粉）。</w:t>
            </w:r>
          </w:p>
        </w:tc>
        <w:tc>
          <w:tcPr>
            <w:tcW w:w="669" w:type="dxa"/>
            <w:tcBorders>
              <w:tl2br w:val="nil"/>
              <w:tr2bl w:val="nil"/>
            </w:tcBorders>
            <w:noWrap w:val="0"/>
            <w:vAlign w:val="center"/>
          </w:tcPr>
          <w:p w14:paraId="39418FE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1个</w:t>
            </w:r>
          </w:p>
        </w:tc>
        <w:tc>
          <w:tcPr>
            <w:tcW w:w="1322" w:type="dxa"/>
            <w:tcBorders>
              <w:tl2br w:val="nil"/>
              <w:tr2bl w:val="nil"/>
            </w:tcBorders>
            <w:noWrap w:val="0"/>
            <w:vAlign w:val="center"/>
          </w:tcPr>
          <w:p w14:paraId="5FE158B3">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40C9B3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tcBorders>
              <w:tl2br w:val="nil"/>
              <w:tr2bl w:val="nil"/>
            </w:tcBorders>
            <w:noWrap w:val="0"/>
            <w:vAlign w:val="center"/>
          </w:tcPr>
          <w:p w14:paraId="798E0995">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tcBorders>
              <w:tl2br w:val="nil"/>
              <w:tr2bl w:val="nil"/>
            </w:tcBorders>
            <w:noWrap w:val="0"/>
            <w:vAlign w:val="center"/>
          </w:tcPr>
          <w:p w14:paraId="5DBCF67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Style w:val="10"/>
                <w:rFonts w:hint="eastAsia" w:ascii="仿宋_GB2312" w:hAnsi="仿宋_GB2312" w:eastAsia="仿宋_GB2312" w:cs="仿宋_GB2312"/>
                <w:color w:val="auto"/>
                <w:sz w:val="21"/>
                <w:szCs w:val="21"/>
                <w:highlight w:val="none"/>
                <w:lang w:val="en-US" w:eastAsia="zh-CN" w:bidi="ar"/>
              </w:rPr>
              <w:t>金蝉</w:t>
            </w:r>
          </w:p>
        </w:tc>
        <w:tc>
          <w:tcPr>
            <w:tcW w:w="5111" w:type="dxa"/>
            <w:tcBorders>
              <w:tl2br w:val="nil"/>
              <w:tr2bl w:val="nil"/>
            </w:tcBorders>
            <w:noWrap w:val="0"/>
            <w:vAlign w:val="center"/>
          </w:tcPr>
          <w:p w14:paraId="01D683D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highlight w:val="none"/>
                <w:u w:val="none"/>
                <w:lang w:val="en-US" w:eastAsia="zh-CN" w:bidi="ar"/>
              </w:rPr>
              <w:t>（1）尺寸：宽5.5-6cm，高5cm。</w:t>
            </w:r>
          </w:p>
          <w:p w14:paraId="67F49D02">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（2）材质外观：陶瓷炼制而成（表面涂有金色喷漆）。</w:t>
            </w:r>
          </w:p>
        </w:tc>
        <w:tc>
          <w:tcPr>
            <w:tcW w:w="669" w:type="dxa"/>
            <w:tcBorders>
              <w:tl2br w:val="nil"/>
              <w:tr2bl w:val="nil"/>
            </w:tcBorders>
            <w:noWrap w:val="0"/>
            <w:vAlign w:val="center"/>
          </w:tcPr>
          <w:p w14:paraId="63F23CB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2个</w:t>
            </w:r>
          </w:p>
        </w:tc>
        <w:tc>
          <w:tcPr>
            <w:tcW w:w="1322" w:type="dxa"/>
            <w:tcBorders>
              <w:tl2br w:val="nil"/>
              <w:tr2bl w:val="nil"/>
            </w:tcBorders>
            <w:noWrap w:val="0"/>
            <w:vAlign w:val="center"/>
          </w:tcPr>
          <w:p w14:paraId="4FADD9B4">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72BE16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tcBorders>
              <w:tl2br w:val="nil"/>
              <w:tr2bl w:val="nil"/>
            </w:tcBorders>
            <w:noWrap w:val="0"/>
            <w:vAlign w:val="center"/>
          </w:tcPr>
          <w:p w14:paraId="272FB34F">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tcBorders>
              <w:tl2br w:val="nil"/>
              <w:tr2bl w:val="nil"/>
            </w:tcBorders>
            <w:noWrap w:val="0"/>
            <w:vAlign w:val="center"/>
          </w:tcPr>
          <w:p w14:paraId="22A719E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Style w:val="10"/>
                <w:rFonts w:hint="eastAsia" w:ascii="仿宋_GB2312" w:hAnsi="仿宋_GB2312" w:eastAsia="仿宋_GB2312" w:cs="仿宋_GB2312"/>
                <w:color w:val="auto"/>
                <w:sz w:val="21"/>
                <w:szCs w:val="21"/>
                <w:highlight w:val="none"/>
                <w:lang w:val="en-US" w:eastAsia="zh-CN" w:bidi="ar"/>
              </w:rPr>
              <w:t>祭祀小摆件</w:t>
            </w:r>
          </w:p>
        </w:tc>
        <w:tc>
          <w:tcPr>
            <w:tcW w:w="5111" w:type="dxa"/>
            <w:tcBorders>
              <w:tl2br w:val="nil"/>
              <w:tr2bl w:val="nil"/>
            </w:tcBorders>
            <w:noWrap w:val="0"/>
            <w:vAlign w:val="center"/>
          </w:tcPr>
          <w:p w14:paraId="03C4B4D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highlight w:val="none"/>
                <w:u w:val="none"/>
                <w:lang w:val="en-US" w:eastAsia="zh-CN" w:bidi="ar"/>
              </w:rPr>
              <w:t>（1）尺寸：宽8cm，高5.5cm。</w:t>
            </w:r>
          </w:p>
          <w:p w14:paraId="05EDAF9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（2）材质外观：陶瓷炼制而成（表面涂有古铜色喷漆）。</w:t>
            </w:r>
          </w:p>
        </w:tc>
        <w:tc>
          <w:tcPr>
            <w:tcW w:w="669" w:type="dxa"/>
            <w:tcBorders>
              <w:tl2br w:val="nil"/>
              <w:tr2bl w:val="nil"/>
            </w:tcBorders>
            <w:noWrap w:val="0"/>
            <w:vAlign w:val="center"/>
          </w:tcPr>
          <w:p w14:paraId="4838A28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1个</w:t>
            </w:r>
          </w:p>
        </w:tc>
        <w:tc>
          <w:tcPr>
            <w:tcW w:w="1322" w:type="dxa"/>
            <w:tcBorders>
              <w:tl2br w:val="nil"/>
              <w:tr2bl w:val="nil"/>
            </w:tcBorders>
            <w:noWrap w:val="0"/>
            <w:vAlign w:val="center"/>
          </w:tcPr>
          <w:p w14:paraId="5CC75118">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76E7C1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tcBorders>
              <w:tl2br w:val="nil"/>
              <w:tr2bl w:val="nil"/>
            </w:tcBorders>
            <w:noWrap w:val="0"/>
            <w:vAlign w:val="center"/>
          </w:tcPr>
          <w:p w14:paraId="37C54114">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tcBorders>
              <w:tl2br w:val="nil"/>
              <w:tr2bl w:val="nil"/>
            </w:tcBorders>
            <w:noWrap w:val="0"/>
            <w:vAlign w:val="center"/>
          </w:tcPr>
          <w:p w14:paraId="34E0785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Style w:val="10"/>
                <w:rFonts w:hint="eastAsia" w:ascii="仿宋_GB2312" w:hAnsi="仿宋_GB2312" w:eastAsia="仿宋_GB2312" w:cs="仿宋_GB2312"/>
                <w:color w:val="auto"/>
                <w:sz w:val="21"/>
                <w:szCs w:val="21"/>
                <w:highlight w:val="none"/>
                <w:lang w:val="en-US" w:eastAsia="zh-CN" w:bidi="ar"/>
              </w:rPr>
              <w:t>五谷粮</w:t>
            </w:r>
          </w:p>
        </w:tc>
        <w:tc>
          <w:tcPr>
            <w:tcW w:w="5111" w:type="dxa"/>
            <w:tcBorders>
              <w:tl2br w:val="nil"/>
              <w:tr2bl w:val="nil"/>
            </w:tcBorders>
            <w:noWrap w:val="0"/>
            <w:vAlign w:val="center"/>
          </w:tcPr>
          <w:p w14:paraId="3D7E96D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五谷粮：材质，两面水晶塑封成铜钱形状，五谷粮分别装在铜钱孔内；尺寸：80*20mm。</w:t>
            </w:r>
          </w:p>
        </w:tc>
        <w:tc>
          <w:tcPr>
            <w:tcW w:w="669" w:type="dxa"/>
            <w:tcBorders>
              <w:tl2br w:val="nil"/>
              <w:tr2bl w:val="nil"/>
            </w:tcBorders>
            <w:noWrap w:val="0"/>
            <w:vAlign w:val="center"/>
          </w:tcPr>
          <w:p w14:paraId="4D81E6D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1个</w:t>
            </w:r>
          </w:p>
        </w:tc>
        <w:tc>
          <w:tcPr>
            <w:tcW w:w="1322" w:type="dxa"/>
            <w:tcBorders>
              <w:tl2br w:val="nil"/>
              <w:tr2bl w:val="nil"/>
            </w:tcBorders>
            <w:noWrap w:val="0"/>
            <w:vAlign w:val="center"/>
          </w:tcPr>
          <w:p w14:paraId="110684A3">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6DE220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tcBorders>
              <w:tl2br w:val="nil"/>
              <w:tr2bl w:val="nil"/>
            </w:tcBorders>
            <w:noWrap w:val="0"/>
            <w:vAlign w:val="center"/>
          </w:tcPr>
          <w:p w14:paraId="046089E8">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tcBorders>
              <w:tl2br w:val="nil"/>
              <w:tr2bl w:val="nil"/>
            </w:tcBorders>
            <w:noWrap w:val="0"/>
            <w:vAlign w:val="center"/>
          </w:tcPr>
          <w:p w14:paraId="6C01FA3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Style w:val="10"/>
                <w:rFonts w:hint="eastAsia" w:ascii="仿宋_GB2312" w:hAnsi="仿宋_GB2312" w:eastAsia="仿宋_GB2312" w:cs="仿宋_GB2312"/>
                <w:color w:val="auto"/>
                <w:sz w:val="21"/>
                <w:szCs w:val="21"/>
                <w:highlight w:val="none"/>
                <w:lang w:val="en-US" w:eastAsia="zh-CN" w:bidi="ar"/>
              </w:rPr>
              <w:t>官印</w:t>
            </w:r>
          </w:p>
        </w:tc>
        <w:tc>
          <w:tcPr>
            <w:tcW w:w="5111" w:type="dxa"/>
            <w:tcBorders>
              <w:tl2br w:val="nil"/>
              <w:tr2bl w:val="nil"/>
            </w:tcBorders>
            <w:noWrap w:val="0"/>
            <w:vAlign w:val="center"/>
          </w:tcPr>
          <w:p w14:paraId="1A090CC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官印：材质，抽象龙形仿汉白玉，印处刻有“通天官印”四个字，尺寸：长40mm*宽40mm*70mm。</w:t>
            </w:r>
          </w:p>
        </w:tc>
        <w:tc>
          <w:tcPr>
            <w:tcW w:w="669" w:type="dxa"/>
            <w:tcBorders>
              <w:tl2br w:val="nil"/>
              <w:tr2bl w:val="nil"/>
            </w:tcBorders>
            <w:noWrap w:val="0"/>
            <w:vAlign w:val="center"/>
          </w:tcPr>
          <w:p w14:paraId="2FAD243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2"/>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highlight w:val="none"/>
                <w:u w:val="none"/>
                <w:lang w:val="en-US" w:eastAsia="zh-CN" w:bidi="ar"/>
              </w:rPr>
              <w:t>1个</w:t>
            </w:r>
          </w:p>
        </w:tc>
        <w:tc>
          <w:tcPr>
            <w:tcW w:w="1322" w:type="dxa"/>
            <w:tcBorders>
              <w:tl2br w:val="nil"/>
              <w:tr2bl w:val="nil"/>
            </w:tcBorders>
            <w:noWrap w:val="0"/>
            <w:vAlign w:val="center"/>
          </w:tcPr>
          <w:p w14:paraId="3734E02E">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168D9B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061" w:type="dxa"/>
            <w:gridSpan w:val="5"/>
            <w:tcBorders>
              <w:tl2br w:val="nil"/>
              <w:tr2bl w:val="nil"/>
            </w:tcBorders>
            <w:noWrap w:val="0"/>
            <w:vAlign w:val="center"/>
          </w:tcPr>
          <w:p w14:paraId="57937BC8">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both"/>
              <w:textAlignment w:val="baseline"/>
              <w:rPr>
                <w:rFonts w:hint="eastAsia" w:ascii="仿宋_GB2312" w:hAnsi="仿宋_GB2312" w:eastAsia="仿宋_GB2312" w:cs="仿宋_GB2312"/>
                <w:color w:val="auto"/>
                <w:sz w:val="21"/>
                <w:szCs w:val="21"/>
                <w:highlight w:val="none"/>
                <w:vertAlign w:val="baseline"/>
                <w:lang w:val="en-US" w:eastAsia="zh-CN"/>
              </w:rPr>
            </w:pPr>
            <w:r>
              <w:rPr>
                <w:rFonts w:hint="eastAsia" w:ascii="CESI楷体-GB2312" w:hAnsi="CESI楷体-GB2312" w:eastAsia="CESI楷体-GB2312" w:cs="CESI楷体-GB2312"/>
                <w:color w:val="auto"/>
                <w:sz w:val="21"/>
                <w:szCs w:val="21"/>
                <w:highlight w:val="none"/>
                <w:vertAlign w:val="baseline"/>
                <w:lang w:val="en-US" w:eastAsia="zh-CN"/>
              </w:rPr>
              <w:t>二、殡葬纸质用品</w:t>
            </w:r>
          </w:p>
        </w:tc>
      </w:tr>
      <w:tr w14:paraId="5C5C91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442" w:type="dxa"/>
            <w:tcBorders>
              <w:tl2br w:val="nil"/>
              <w:tr2bl w:val="nil"/>
            </w:tcBorders>
            <w:noWrap w:val="0"/>
            <w:vAlign w:val="center"/>
          </w:tcPr>
          <w:p w14:paraId="65D1B840">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tcBorders>
              <w:tl2br w:val="nil"/>
              <w:tr2bl w:val="nil"/>
            </w:tcBorders>
            <w:noWrap w:val="0"/>
            <w:vAlign w:val="center"/>
          </w:tcPr>
          <w:p w14:paraId="612ABB0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0"/>
                <w:sz w:val="21"/>
                <w:szCs w:val="21"/>
                <w:highlight w:val="none"/>
                <w:u w:val="none"/>
                <w:lang w:val="en-US" w:eastAsia="zh-CN" w:bidi="ar"/>
              </w:rPr>
              <w:t>老式烧纸</w:t>
            </w:r>
          </w:p>
        </w:tc>
        <w:tc>
          <w:tcPr>
            <w:tcW w:w="5111" w:type="dxa"/>
            <w:tcBorders>
              <w:tl2br w:val="nil"/>
              <w:tr2bl w:val="nil"/>
            </w:tcBorders>
            <w:noWrap w:val="0"/>
            <w:vAlign w:val="center"/>
          </w:tcPr>
          <w:p w14:paraId="7B64ECF3">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（1）尺寸:长240毫米、宽210毫米、高500毫米。</w:t>
            </w:r>
          </w:p>
          <w:p w14:paraId="2FAEF03D">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0"/>
                <w:sz w:val="21"/>
                <w:szCs w:val="21"/>
                <w:highlight w:val="none"/>
                <w:u w:val="none"/>
                <w:lang w:val="en-US" w:eastAsia="zh-CN" w:bidi="ar"/>
              </w:rPr>
              <w:t>（2）材质外观:黄纸、包装好、质地厚。</w:t>
            </w:r>
          </w:p>
        </w:tc>
        <w:tc>
          <w:tcPr>
            <w:tcW w:w="669" w:type="dxa"/>
            <w:tcBorders>
              <w:tl2br w:val="nil"/>
              <w:tr2bl w:val="nil"/>
            </w:tcBorders>
            <w:noWrap w:val="0"/>
            <w:vAlign w:val="center"/>
          </w:tcPr>
          <w:p w14:paraId="7B722BF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highlight w:val="none"/>
                <w:u w:val="none"/>
                <w:lang w:val="en-US" w:eastAsia="zh-CN" w:bidi="ar"/>
              </w:rPr>
              <w:t>1包</w:t>
            </w:r>
          </w:p>
        </w:tc>
        <w:tc>
          <w:tcPr>
            <w:tcW w:w="1322" w:type="dxa"/>
            <w:tcBorders>
              <w:tl2br w:val="nil"/>
              <w:tr2bl w:val="nil"/>
            </w:tcBorders>
            <w:noWrap w:val="0"/>
            <w:vAlign w:val="center"/>
          </w:tcPr>
          <w:p w14:paraId="404133E7">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61D8E7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noWrap w:val="0"/>
            <w:vAlign w:val="center"/>
          </w:tcPr>
          <w:p w14:paraId="378F055D">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noWrap w:val="0"/>
            <w:vAlign w:val="center"/>
          </w:tcPr>
          <w:p w14:paraId="4FE86CB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w w:val="90"/>
                <w:kern w:val="0"/>
                <w:sz w:val="21"/>
                <w:szCs w:val="21"/>
                <w:highlight w:val="none"/>
                <w:u w:val="none"/>
                <w:lang w:val="en-US" w:eastAsia="zh-CN" w:bidi="ar"/>
              </w:rPr>
              <w:t>环保纸（万贯）</w:t>
            </w:r>
          </w:p>
        </w:tc>
        <w:tc>
          <w:tcPr>
            <w:tcW w:w="5111" w:type="dxa"/>
            <w:noWrap w:val="0"/>
            <w:vAlign w:val="center"/>
          </w:tcPr>
          <w:p w14:paraId="7EB2B14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（1）尺寸:长330毫米、宽230毫米、高460毫米。</w:t>
            </w:r>
          </w:p>
          <w:p w14:paraId="59AE67D0">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0"/>
                <w:sz w:val="21"/>
                <w:szCs w:val="21"/>
                <w:highlight w:val="none"/>
                <w:u w:val="none"/>
                <w:lang w:val="en-US" w:eastAsia="zh-CN" w:bidi="ar"/>
              </w:rPr>
              <w:t>（2）外观材质:塑料包装环保型烧纸。</w:t>
            </w:r>
          </w:p>
        </w:tc>
        <w:tc>
          <w:tcPr>
            <w:tcW w:w="669" w:type="dxa"/>
            <w:noWrap w:val="0"/>
            <w:vAlign w:val="center"/>
          </w:tcPr>
          <w:p w14:paraId="7663594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highlight w:val="none"/>
                <w:u w:val="none"/>
                <w:lang w:val="en-US" w:eastAsia="zh-CN" w:bidi="ar"/>
              </w:rPr>
              <w:t>1包</w:t>
            </w:r>
          </w:p>
        </w:tc>
        <w:tc>
          <w:tcPr>
            <w:tcW w:w="1322" w:type="dxa"/>
            <w:noWrap w:val="0"/>
            <w:vAlign w:val="center"/>
          </w:tcPr>
          <w:p w14:paraId="793752CB">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31FDAF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noWrap w:val="0"/>
            <w:vAlign w:val="center"/>
          </w:tcPr>
          <w:p w14:paraId="1CCF4E1D">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noWrap w:val="0"/>
            <w:vAlign w:val="center"/>
          </w:tcPr>
          <w:p w14:paraId="5C11C70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0"/>
                <w:sz w:val="21"/>
                <w:szCs w:val="21"/>
                <w:highlight w:val="none"/>
                <w:u w:val="none"/>
                <w:lang w:val="en-US" w:eastAsia="zh-CN" w:bidi="ar"/>
              </w:rPr>
              <w:t>15环保</w:t>
            </w:r>
          </w:p>
        </w:tc>
        <w:tc>
          <w:tcPr>
            <w:tcW w:w="5111" w:type="dxa"/>
            <w:noWrap w:val="0"/>
            <w:vAlign w:val="center"/>
          </w:tcPr>
          <w:p w14:paraId="71ECB988">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（1）尺寸:长600毫米、宽130毫米、高550毫米。</w:t>
            </w:r>
          </w:p>
          <w:p w14:paraId="496D450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0"/>
                <w:sz w:val="21"/>
                <w:szCs w:val="21"/>
                <w:highlight w:val="none"/>
                <w:u w:val="none"/>
                <w:lang w:val="en-US" w:eastAsia="zh-CN" w:bidi="ar"/>
              </w:rPr>
              <w:t>（2）外观材质:塑料包装环保型烧纸。</w:t>
            </w:r>
          </w:p>
        </w:tc>
        <w:tc>
          <w:tcPr>
            <w:tcW w:w="669" w:type="dxa"/>
            <w:noWrap w:val="0"/>
            <w:vAlign w:val="center"/>
          </w:tcPr>
          <w:p w14:paraId="2F272F2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highlight w:val="none"/>
                <w:u w:val="none"/>
                <w:lang w:val="en-US" w:eastAsia="zh-CN" w:bidi="ar"/>
              </w:rPr>
              <w:t>1包</w:t>
            </w:r>
          </w:p>
        </w:tc>
        <w:tc>
          <w:tcPr>
            <w:tcW w:w="1322" w:type="dxa"/>
            <w:noWrap w:val="0"/>
            <w:vAlign w:val="center"/>
          </w:tcPr>
          <w:p w14:paraId="069AAE1C">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0E9E51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noWrap w:val="0"/>
            <w:vAlign w:val="center"/>
          </w:tcPr>
          <w:p w14:paraId="2184B7AE">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noWrap w:val="0"/>
            <w:vAlign w:val="center"/>
          </w:tcPr>
          <w:p w14:paraId="7E8A9D3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0"/>
                <w:sz w:val="21"/>
                <w:szCs w:val="21"/>
                <w:highlight w:val="none"/>
                <w:u w:val="none"/>
                <w:lang w:val="en-US" w:eastAsia="zh-CN" w:bidi="ar"/>
              </w:rPr>
              <w:t>20环保</w:t>
            </w:r>
          </w:p>
        </w:tc>
        <w:tc>
          <w:tcPr>
            <w:tcW w:w="5111" w:type="dxa"/>
            <w:noWrap w:val="0"/>
            <w:vAlign w:val="center"/>
          </w:tcPr>
          <w:p w14:paraId="44EFF5B2">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（1）尺寸:长400毫米、宽90毫米、高800毫米。</w:t>
            </w:r>
          </w:p>
          <w:p w14:paraId="5EAB9B04">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0"/>
                <w:sz w:val="21"/>
                <w:szCs w:val="21"/>
                <w:highlight w:val="none"/>
                <w:u w:val="none"/>
                <w:lang w:val="en-US" w:eastAsia="zh-CN" w:bidi="ar"/>
              </w:rPr>
              <w:t>（2）外观材质:塑料包装环保型烧纸。</w:t>
            </w:r>
          </w:p>
        </w:tc>
        <w:tc>
          <w:tcPr>
            <w:tcW w:w="669" w:type="dxa"/>
            <w:noWrap w:val="0"/>
            <w:vAlign w:val="center"/>
          </w:tcPr>
          <w:p w14:paraId="029FE8B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highlight w:val="none"/>
                <w:u w:val="none"/>
                <w:lang w:val="en-US" w:eastAsia="zh-CN" w:bidi="ar"/>
              </w:rPr>
              <w:t>1包</w:t>
            </w:r>
          </w:p>
        </w:tc>
        <w:tc>
          <w:tcPr>
            <w:tcW w:w="1322" w:type="dxa"/>
            <w:noWrap w:val="0"/>
            <w:vAlign w:val="center"/>
          </w:tcPr>
          <w:p w14:paraId="4E40137C">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kern w:val="2"/>
                <w:sz w:val="21"/>
                <w:szCs w:val="21"/>
                <w:highlight w:val="none"/>
                <w:vertAlign w:val="baseline"/>
                <w:lang w:val="en-US" w:eastAsia="zh-CN" w:bidi="ar-SA"/>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5271EC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noWrap w:val="0"/>
            <w:vAlign w:val="center"/>
          </w:tcPr>
          <w:p w14:paraId="23F334A8">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noWrap w:val="0"/>
            <w:vAlign w:val="center"/>
          </w:tcPr>
          <w:p w14:paraId="4E14DAD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0"/>
                <w:sz w:val="21"/>
                <w:szCs w:val="21"/>
                <w:highlight w:val="none"/>
                <w:u w:val="none"/>
                <w:lang w:val="en-US" w:eastAsia="zh-CN" w:bidi="ar"/>
              </w:rPr>
              <w:t>40环保</w:t>
            </w:r>
          </w:p>
        </w:tc>
        <w:tc>
          <w:tcPr>
            <w:tcW w:w="5111" w:type="dxa"/>
            <w:noWrap w:val="0"/>
            <w:vAlign w:val="center"/>
          </w:tcPr>
          <w:p w14:paraId="48200CB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（1）尺寸:长450毫米、宽500毫米、高400毫米。</w:t>
            </w:r>
          </w:p>
          <w:p w14:paraId="574C8DE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0"/>
                <w:sz w:val="21"/>
                <w:szCs w:val="21"/>
                <w:highlight w:val="none"/>
                <w:u w:val="none"/>
                <w:lang w:val="en-US" w:eastAsia="zh-CN" w:bidi="ar"/>
              </w:rPr>
              <w:t>（2）外观材质:塑料包装环保型烧纸。</w:t>
            </w:r>
          </w:p>
        </w:tc>
        <w:tc>
          <w:tcPr>
            <w:tcW w:w="669" w:type="dxa"/>
            <w:noWrap w:val="0"/>
            <w:vAlign w:val="center"/>
          </w:tcPr>
          <w:p w14:paraId="302D00E8">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highlight w:val="none"/>
                <w:u w:val="none"/>
                <w:lang w:val="en-US" w:eastAsia="zh-CN" w:bidi="ar"/>
              </w:rPr>
              <w:t>1包</w:t>
            </w:r>
          </w:p>
        </w:tc>
        <w:tc>
          <w:tcPr>
            <w:tcW w:w="1322" w:type="dxa"/>
            <w:noWrap w:val="0"/>
            <w:vAlign w:val="center"/>
          </w:tcPr>
          <w:p w14:paraId="46345CED">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kern w:val="2"/>
                <w:sz w:val="21"/>
                <w:szCs w:val="21"/>
                <w:highlight w:val="none"/>
                <w:vertAlign w:val="baseline"/>
                <w:lang w:val="en-US" w:eastAsia="zh-CN" w:bidi="ar-SA"/>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025C96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noWrap w:val="0"/>
            <w:vAlign w:val="center"/>
          </w:tcPr>
          <w:p w14:paraId="1D721C4B">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noWrap w:val="0"/>
            <w:vAlign w:val="center"/>
          </w:tcPr>
          <w:p w14:paraId="7C86E04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0"/>
                <w:sz w:val="21"/>
                <w:szCs w:val="21"/>
                <w:highlight w:val="none"/>
                <w:u w:val="none"/>
                <w:lang w:val="en-US" w:eastAsia="zh-CN" w:bidi="ar"/>
              </w:rPr>
              <w:t>五连烧纸</w:t>
            </w:r>
          </w:p>
        </w:tc>
        <w:tc>
          <w:tcPr>
            <w:tcW w:w="5111" w:type="dxa"/>
            <w:noWrap w:val="0"/>
            <w:vAlign w:val="center"/>
          </w:tcPr>
          <w:p w14:paraId="15FC269A">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（1）尺寸:长300毫米、宽80毫米、高80毫米。</w:t>
            </w:r>
          </w:p>
          <w:p w14:paraId="56E95AF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0"/>
                <w:sz w:val="21"/>
                <w:szCs w:val="21"/>
                <w:highlight w:val="none"/>
                <w:u w:val="none"/>
                <w:lang w:val="en-US" w:eastAsia="zh-CN" w:bidi="ar"/>
              </w:rPr>
              <w:t>（2）外观材质:塑料包装环保型烧纸。</w:t>
            </w:r>
          </w:p>
        </w:tc>
        <w:tc>
          <w:tcPr>
            <w:tcW w:w="669" w:type="dxa"/>
            <w:noWrap w:val="0"/>
            <w:vAlign w:val="center"/>
          </w:tcPr>
          <w:p w14:paraId="789348F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highlight w:val="none"/>
                <w:u w:val="none"/>
                <w:lang w:val="en-US" w:eastAsia="zh-CN" w:bidi="ar"/>
              </w:rPr>
              <w:t>1包</w:t>
            </w:r>
          </w:p>
        </w:tc>
        <w:tc>
          <w:tcPr>
            <w:tcW w:w="1322" w:type="dxa"/>
            <w:noWrap w:val="0"/>
            <w:vAlign w:val="center"/>
          </w:tcPr>
          <w:p w14:paraId="3B22E4BF">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kern w:val="2"/>
                <w:sz w:val="21"/>
                <w:szCs w:val="21"/>
                <w:highlight w:val="none"/>
                <w:vertAlign w:val="baseline"/>
                <w:lang w:val="en-US" w:eastAsia="zh-CN" w:bidi="ar-SA"/>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00BCDF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noWrap w:val="0"/>
            <w:vAlign w:val="center"/>
          </w:tcPr>
          <w:p w14:paraId="3C901B21">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noWrap w:val="0"/>
            <w:vAlign w:val="center"/>
          </w:tcPr>
          <w:p w14:paraId="69A8CCD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0"/>
                <w:sz w:val="21"/>
                <w:szCs w:val="21"/>
                <w:highlight w:val="none"/>
                <w:u w:val="none"/>
                <w:lang w:val="en-US" w:eastAsia="zh-CN" w:bidi="ar"/>
              </w:rPr>
              <w:t>精品莲花</w:t>
            </w:r>
          </w:p>
        </w:tc>
        <w:tc>
          <w:tcPr>
            <w:tcW w:w="5111" w:type="dxa"/>
            <w:noWrap w:val="0"/>
            <w:vAlign w:val="center"/>
          </w:tcPr>
          <w:p w14:paraId="517EFE30">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（1）尺寸：直径50厘米，高度32厘米。</w:t>
            </w:r>
          </w:p>
          <w:p w14:paraId="64A08F11">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0"/>
                <w:sz w:val="21"/>
                <w:szCs w:val="21"/>
                <w:highlight w:val="none"/>
                <w:u w:val="none"/>
                <w:lang w:val="en-US" w:eastAsia="zh-CN" w:bidi="ar"/>
              </w:rPr>
              <w:t>（2）材质外观：烫金三维立体合成加厚纸，用料156片三角莲花片纯手工制作莲花体积，造型完美，耐储存，抗摔，不易变形。</w:t>
            </w:r>
          </w:p>
        </w:tc>
        <w:tc>
          <w:tcPr>
            <w:tcW w:w="669" w:type="dxa"/>
            <w:noWrap w:val="0"/>
            <w:vAlign w:val="center"/>
          </w:tcPr>
          <w:p w14:paraId="32273F6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highlight w:val="none"/>
                <w:u w:val="none"/>
                <w:lang w:val="en-US" w:eastAsia="zh-CN" w:bidi="ar"/>
              </w:rPr>
              <w:t>1个</w:t>
            </w:r>
          </w:p>
        </w:tc>
        <w:tc>
          <w:tcPr>
            <w:tcW w:w="1322" w:type="dxa"/>
            <w:noWrap w:val="0"/>
            <w:vAlign w:val="center"/>
          </w:tcPr>
          <w:p w14:paraId="48AF4924">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kern w:val="2"/>
                <w:sz w:val="21"/>
                <w:szCs w:val="21"/>
                <w:highlight w:val="none"/>
                <w:vertAlign w:val="baseline"/>
                <w:lang w:val="en-US" w:eastAsia="zh-CN" w:bidi="ar-SA"/>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7E3E6E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noWrap w:val="0"/>
            <w:vAlign w:val="center"/>
          </w:tcPr>
          <w:p w14:paraId="0EBF3B41">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noWrap w:val="0"/>
            <w:vAlign w:val="center"/>
          </w:tcPr>
          <w:p w14:paraId="39A43A5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0"/>
                <w:sz w:val="21"/>
                <w:szCs w:val="21"/>
                <w:highlight w:val="none"/>
                <w:u w:val="none"/>
                <w:lang w:val="en-US" w:eastAsia="zh-CN" w:bidi="ar"/>
              </w:rPr>
              <w:t>精品五盆花</w:t>
            </w:r>
          </w:p>
        </w:tc>
        <w:tc>
          <w:tcPr>
            <w:tcW w:w="5111" w:type="dxa"/>
            <w:noWrap w:val="0"/>
            <w:vAlign w:val="center"/>
          </w:tcPr>
          <w:p w14:paraId="02E840BD">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default"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（1）尺寸：底长77厘米，总高45厘米。</w:t>
            </w:r>
          </w:p>
          <w:p w14:paraId="133FC30E">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0"/>
                <w:sz w:val="21"/>
                <w:szCs w:val="21"/>
                <w:highlight w:val="none"/>
                <w:u w:val="none"/>
                <w:lang w:val="en-US" w:eastAsia="zh-CN" w:bidi="ar"/>
              </w:rPr>
              <w:t>（2）材质外观：手工5朵绢花，外壳及底座用的是合成烫金纸手工折成，99根纸制金条，高端大气上档次。</w:t>
            </w:r>
          </w:p>
        </w:tc>
        <w:tc>
          <w:tcPr>
            <w:tcW w:w="669" w:type="dxa"/>
            <w:noWrap w:val="0"/>
            <w:vAlign w:val="center"/>
          </w:tcPr>
          <w:p w14:paraId="497804E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highlight w:val="none"/>
                <w:u w:val="none"/>
                <w:lang w:val="en-US" w:eastAsia="zh-CN" w:bidi="ar"/>
              </w:rPr>
              <w:t>1个</w:t>
            </w:r>
          </w:p>
        </w:tc>
        <w:tc>
          <w:tcPr>
            <w:tcW w:w="1322" w:type="dxa"/>
            <w:noWrap w:val="0"/>
            <w:vAlign w:val="center"/>
          </w:tcPr>
          <w:p w14:paraId="6E16A6EA">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kern w:val="2"/>
                <w:sz w:val="21"/>
                <w:szCs w:val="21"/>
                <w:highlight w:val="none"/>
                <w:vertAlign w:val="baseline"/>
                <w:lang w:val="en-US" w:eastAsia="zh-CN" w:bidi="ar-SA"/>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05BFE5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061" w:type="dxa"/>
            <w:gridSpan w:val="5"/>
            <w:noWrap w:val="0"/>
            <w:vAlign w:val="center"/>
          </w:tcPr>
          <w:p w14:paraId="31BCA30A">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both"/>
              <w:textAlignment w:val="baseline"/>
              <w:rPr>
                <w:rFonts w:hint="eastAsia" w:ascii="仿宋_GB2312" w:hAnsi="仿宋_GB2312" w:eastAsia="仿宋_GB2312" w:cs="仿宋_GB2312"/>
                <w:color w:val="auto"/>
                <w:sz w:val="21"/>
                <w:szCs w:val="21"/>
                <w:highlight w:val="none"/>
                <w:vertAlign w:val="baseline"/>
                <w:lang w:val="en-US" w:eastAsia="zh-CN"/>
              </w:rPr>
            </w:pPr>
            <w:r>
              <w:rPr>
                <w:rFonts w:hint="eastAsia" w:ascii="CESI楷体-GB2312" w:hAnsi="CESI楷体-GB2312" w:eastAsia="CESI楷体-GB2312" w:cs="CESI楷体-GB2312"/>
                <w:color w:val="auto"/>
                <w:sz w:val="21"/>
                <w:szCs w:val="21"/>
                <w:highlight w:val="none"/>
                <w:vertAlign w:val="baseline"/>
                <w:lang w:val="en-US" w:eastAsia="zh-CN"/>
              </w:rPr>
              <w:t>三、鲜花类祭祀用品及辅料</w:t>
            </w:r>
          </w:p>
        </w:tc>
      </w:tr>
      <w:tr w14:paraId="6DEDCD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noWrap w:val="0"/>
            <w:vAlign w:val="center"/>
          </w:tcPr>
          <w:p w14:paraId="5B9530CE">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6628" w:type="dxa"/>
            <w:gridSpan w:val="2"/>
            <w:noWrap w:val="0"/>
            <w:vAlign w:val="center"/>
          </w:tcPr>
          <w:p w14:paraId="5D8E69B0">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2"/>
                <w:sz w:val="21"/>
                <w:szCs w:val="21"/>
                <w:highlight w:val="none"/>
                <w:u w:val="none"/>
                <w:lang w:val="en-US" w:eastAsia="zh-CN" w:bidi="ar-SA"/>
              </w:rPr>
              <w:t>白菊</w:t>
            </w:r>
            <w:r>
              <w:rPr>
                <w:rFonts w:hint="default" w:ascii="仿宋_GB2312" w:hAnsi="仿宋_GB2312" w:eastAsia="仿宋_GB2312" w:cs="仿宋_GB2312"/>
                <w:i w:val="0"/>
                <w:iCs w:val="0"/>
                <w:color w:val="000000"/>
                <w:kern w:val="2"/>
                <w:sz w:val="21"/>
                <w:szCs w:val="21"/>
                <w:highlight w:val="none"/>
                <w:u w:val="none"/>
                <w:lang w:val="en-US" w:eastAsia="zh-CN" w:bidi="ar-SA"/>
              </w:rPr>
              <w:t>:</w:t>
            </w:r>
            <w:r>
              <w:rPr>
                <w:rFonts w:hint="eastAsia" w:ascii="仿宋_GB2312" w:hAnsi="仿宋_GB2312" w:eastAsia="仿宋_GB2312" w:cs="仿宋_GB2312"/>
                <w:i w:val="0"/>
                <w:iCs w:val="0"/>
                <w:color w:val="000000"/>
                <w:kern w:val="2"/>
                <w:sz w:val="21"/>
                <w:szCs w:val="21"/>
                <w:highlight w:val="none"/>
                <w:u w:val="none"/>
                <w:lang w:val="en-US" w:eastAsia="zh-CN" w:bidi="ar-SA"/>
              </w:rPr>
              <w:t>当季最大花朵，保证新鲜，须花房剪完三天内的鲜花，无黄叶、无掉瓣情况。</w:t>
            </w:r>
          </w:p>
        </w:tc>
        <w:tc>
          <w:tcPr>
            <w:tcW w:w="669" w:type="dxa"/>
            <w:noWrap w:val="0"/>
            <w:vAlign w:val="top"/>
          </w:tcPr>
          <w:p w14:paraId="407FF285">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2"/>
                <w:sz w:val="21"/>
                <w:szCs w:val="21"/>
                <w:highlight w:val="none"/>
                <w:u w:val="none"/>
                <w:lang w:val="en-US" w:eastAsia="zh-CN" w:bidi="ar-SA"/>
              </w:rPr>
              <w:t>10枝/捆</w:t>
            </w:r>
          </w:p>
        </w:tc>
        <w:tc>
          <w:tcPr>
            <w:tcW w:w="1322" w:type="dxa"/>
            <w:noWrap w:val="0"/>
            <w:vAlign w:val="center"/>
          </w:tcPr>
          <w:p w14:paraId="2A07F13F">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kern w:val="2"/>
                <w:sz w:val="21"/>
                <w:szCs w:val="21"/>
                <w:highlight w:val="none"/>
                <w:vertAlign w:val="baseline"/>
                <w:lang w:val="en-US" w:eastAsia="zh-CN" w:bidi="ar-SA"/>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6210CA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noWrap w:val="0"/>
            <w:vAlign w:val="center"/>
          </w:tcPr>
          <w:p w14:paraId="25B4C902">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6628" w:type="dxa"/>
            <w:gridSpan w:val="2"/>
            <w:noWrap w:val="0"/>
            <w:vAlign w:val="center"/>
          </w:tcPr>
          <w:p w14:paraId="133DB50D">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2"/>
                <w:sz w:val="21"/>
                <w:szCs w:val="21"/>
                <w:highlight w:val="none"/>
                <w:u w:val="none"/>
                <w:lang w:val="en-US" w:eastAsia="zh-CN" w:bidi="ar-SA"/>
              </w:rPr>
              <w:t>黄菊</w:t>
            </w:r>
            <w:r>
              <w:rPr>
                <w:rFonts w:hint="default" w:ascii="仿宋_GB2312" w:hAnsi="仿宋_GB2312" w:eastAsia="仿宋_GB2312" w:cs="仿宋_GB2312"/>
                <w:i w:val="0"/>
                <w:iCs w:val="0"/>
                <w:color w:val="000000"/>
                <w:kern w:val="2"/>
                <w:sz w:val="21"/>
                <w:szCs w:val="21"/>
                <w:highlight w:val="none"/>
                <w:u w:val="none"/>
                <w:lang w:val="en-US" w:eastAsia="zh-CN" w:bidi="ar-SA"/>
              </w:rPr>
              <w:t>:</w:t>
            </w:r>
            <w:r>
              <w:rPr>
                <w:rFonts w:hint="eastAsia" w:ascii="仿宋_GB2312" w:hAnsi="仿宋_GB2312" w:eastAsia="仿宋_GB2312" w:cs="仿宋_GB2312"/>
                <w:i w:val="0"/>
                <w:iCs w:val="0"/>
                <w:color w:val="000000"/>
                <w:kern w:val="2"/>
                <w:sz w:val="21"/>
                <w:szCs w:val="21"/>
                <w:highlight w:val="none"/>
                <w:u w:val="none"/>
                <w:lang w:val="en-US" w:eastAsia="zh-CN" w:bidi="ar-SA"/>
              </w:rPr>
              <w:t>当季最大花朵，保证新鲜，须花房剪完三天内的鲜花，无黄叶、无掉瓣情况。</w:t>
            </w:r>
          </w:p>
        </w:tc>
        <w:tc>
          <w:tcPr>
            <w:tcW w:w="669" w:type="dxa"/>
            <w:noWrap w:val="0"/>
            <w:vAlign w:val="top"/>
          </w:tcPr>
          <w:p w14:paraId="192FE8FC">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2"/>
                <w:sz w:val="21"/>
                <w:szCs w:val="21"/>
                <w:highlight w:val="none"/>
                <w:u w:val="none"/>
                <w:lang w:val="en-US" w:eastAsia="zh-CN" w:bidi="ar-SA"/>
              </w:rPr>
              <w:t>10枝/捆</w:t>
            </w:r>
          </w:p>
        </w:tc>
        <w:tc>
          <w:tcPr>
            <w:tcW w:w="1322" w:type="dxa"/>
            <w:noWrap w:val="0"/>
            <w:vAlign w:val="center"/>
          </w:tcPr>
          <w:p w14:paraId="30AA09F4">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kern w:val="2"/>
                <w:sz w:val="21"/>
                <w:szCs w:val="21"/>
                <w:highlight w:val="none"/>
                <w:vertAlign w:val="baseline"/>
                <w:lang w:val="en-US" w:eastAsia="zh-CN" w:bidi="ar-SA"/>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3DAD8E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noWrap w:val="0"/>
            <w:vAlign w:val="center"/>
          </w:tcPr>
          <w:p w14:paraId="52CB68D6">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6628" w:type="dxa"/>
            <w:gridSpan w:val="2"/>
            <w:noWrap w:val="0"/>
            <w:vAlign w:val="center"/>
          </w:tcPr>
          <w:p w14:paraId="6DE6AFD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2"/>
                <w:sz w:val="21"/>
                <w:szCs w:val="21"/>
                <w:highlight w:val="none"/>
                <w:u w:val="none"/>
                <w:lang w:val="en-US" w:eastAsia="zh-CN" w:bidi="ar-SA"/>
              </w:rPr>
              <w:t>扶郎</w:t>
            </w:r>
            <w:r>
              <w:rPr>
                <w:rFonts w:hint="default" w:ascii="仿宋_GB2312" w:hAnsi="仿宋_GB2312" w:eastAsia="仿宋_GB2312" w:cs="仿宋_GB2312"/>
                <w:i w:val="0"/>
                <w:iCs w:val="0"/>
                <w:color w:val="000000"/>
                <w:kern w:val="2"/>
                <w:sz w:val="21"/>
                <w:szCs w:val="21"/>
                <w:highlight w:val="none"/>
                <w:u w:val="none"/>
                <w:lang w:val="en-US" w:eastAsia="zh-CN" w:bidi="ar-SA"/>
              </w:rPr>
              <w:t>:</w:t>
            </w:r>
            <w:r>
              <w:rPr>
                <w:rFonts w:hint="eastAsia" w:ascii="仿宋_GB2312" w:hAnsi="仿宋_GB2312" w:eastAsia="仿宋_GB2312" w:cs="仿宋_GB2312"/>
                <w:i w:val="0"/>
                <w:iCs w:val="0"/>
                <w:color w:val="000000"/>
                <w:kern w:val="2"/>
                <w:sz w:val="21"/>
                <w:szCs w:val="21"/>
                <w:highlight w:val="none"/>
                <w:u w:val="none"/>
                <w:lang w:val="en-US" w:eastAsia="zh-CN" w:bidi="ar-SA"/>
              </w:rPr>
              <w:t>当季最大花朵，保证新鲜，须花房剪完三天内的鲜花，无黄叶、无掉瓣情况。</w:t>
            </w:r>
          </w:p>
        </w:tc>
        <w:tc>
          <w:tcPr>
            <w:tcW w:w="669" w:type="dxa"/>
            <w:noWrap w:val="0"/>
            <w:vAlign w:val="top"/>
          </w:tcPr>
          <w:p w14:paraId="3EB8DEB8">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default" w:ascii="仿宋_GB2312" w:hAnsi="仿宋_GB2312" w:eastAsia="仿宋_GB2312" w:cs="仿宋_GB2312"/>
                <w:i w:val="0"/>
                <w:iCs w:val="0"/>
                <w:color w:val="000000"/>
                <w:kern w:val="2"/>
                <w:sz w:val="21"/>
                <w:szCs w:val="21"/>
                <w:highlight w:val="none"/>
                <w:u w:val="none"/>
                <w:lang w:val="en-US" w:eastAsia="zh-CN" w:bidi="ar-SA"/>
              </w:rPr>
              <w:t>2</w:t>
            </w:r>
            <w:r>
              <w:rPr>
                <w:rFonts w:hint="eastAsia" w:ascii="仿宋_GB2312" w:hAnsi="仿宋_GB2312" w:eastAsia="仿宋_GB2312" w:cs="仿宋_GB2312"/>
                <w:i w:val="0"/>
                <w:iCs w:val="0"/>
                <w:color w:val="000000"/>
                <w:kern w:val="2"/>
                <w:sz w:val="21"/>
                <w:szCs w:val="21"/>
                <w:highlight w:val="none"/>
                <w:u w:val="none"/>
                <w:lang w:val="en-US" w:eastAsia="zh-CN" w:bidi="ar-SA"/>
              </w:rPr>
              <w:t>0</w:t>
            </w:r>
            <w:r>
              <w:rPr>
                <w:rFonts w:hint="default" w:ascii="仿宋_GB2312" w:hAnsi="仿宋_GB2312" w:eastAsia="仿宋_GB2312" w:cs="仿宋_GB2312"/>
                <w:i w:val="0"/>
                <w:iCs w:val="0"/>
                <w:color w:val="000000"/>
                <w:kern w:val="2"/>
                <w:sz w:val="21"/>
                <w:szCs w:val="21"/>
                <w:highlight w:val="none"/>
                <w:u w:val="none"/>
                <w:lang w:val="en-US" w:eastAsia="zh-CN" w:bidi="ar-SA"/>
              </w:rPr>
              <w:t>枝</w:t>
            </w:r>
            <w:r>
              <w:rPr>
                <w:rFonts w:hint="eastAsia" w:ascii="仿宋_GB2312" w:hAnsi="仿宋_GB2312" w:eastAsia="仿宋_GB2312" w:cs="仿宋_GB2312"/>
                <w:i w:val="0"/>
                <w:iCs w:val="0"/>
                <w:color w:val="000000"/>
                <w:kern w:val="2"/>
                <w:sz w:val="21"/>
                <w:szCs w:val="21"/>
                <w:highlight w:val="none"/>
                <w:u w:val="none"/>
                <w:lang w:val="en-US" w:eastAsia="zh-CN" w:bidi="ar-SA"/>
              </w:rPr>
              <w:t>/捆</w:t>
            </w:r>
          </w:p>
        </w:tc>
        <w:tc>
          <w:tcPr>
            <w:tcW w:w="1322" w:type="dxa"/>
            <w:noWrap w:val="0"/>
            <w:vAlign w:val="center"/>
          </w:tcPr>
          <w:p w14:paraId="441CFE1B">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kern w:val="2"/>
                <w:sz w:val="21"/>
                <w:szCs w:val="21"/>
                <w:highlight w:val="none"/>
                <w:vertAlign w:val="baseline"/>
                <w:lang w:val="en-US" w:eastAsia="zh-CN" w:bidi="ar-SA"/>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038011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noWrap w:val="0"/>
            <w:vAlign w:val="center"/>
          </w:tcPr>
          <w:p w14:paraId="697ED468">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6628" w:type="dxa"/>
            <w:gridSpan w:val="2"/>
            <w:noWrap w:val="0"/>
            <w:vAlign w:val="center"/>
          </w:tcPr>
          <w:p w14:paraId="5F0539E0">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2"/>
                <w:sz w:val="21"/>
                <w:szCs w:val="21"/>
                <w:highlight w:val="none"/>
                <w:u w:val="none"/>
                <w:lang w:val="en-US" w:eastAsia="zh-CN" w:bidi="ar-SA"/>
              </w:rPr>
              <w:t>百合</w:t>
            </w:r>
            <w:r>
              <w:rPr>
                <w:rFonts w:hint="default" w:ascii="仿宋_GB2312" w:hAnsi="仿宋_GB2312" w:eastAsia="仿宋_GB2312" w:cs="仿宋_GB2312"/>
                <w:i w:val="0"/>
                <w:iCs w:val="0"/>
                <w:color w:val="000000"/>
                <w:kern w:val="2"/>
                <w:sz w:val="21"/>
                <w:szCs w:val="21"/>
                <w:highlight w:val="none"/>
                <w:u w:val="none"/>
                <w:lang w:val="en-US" w:eastAsia="zh-CN" w:bidi="ar-SA"/>
              </w:rPr>
              <w:t>:</w:t>
            </w:r>
            <w:r>
              <w:rPr>
                <w:rFonts w:hint="eastAsia" w:ascii="仿宋_GB2312" w:hAnsi="仿宋_GB2312" w:eastAsia="仿宋_GB2312" w:cs="仿宋_GB2312"/>
                <w:i w:val="0"/>
                <w:iCs w:val="0"/>
                <w:color w:val="000000"/>
                <w:kern w:val="2"/>
                <w:sz w:val="21"/>
                <w:szCs w:val="21"/>
                <w:highlight w:val="none"/>
                <w:u w:val="none"/>
                <w:lang w:val="en-US" w:eastAsia="zh-CN" w:bidi="ar-SA"/>
              </w:rPr>
              <w:t>当季最大花朵，保证新鲜，须花房剪完三天内的鲜花，无黄叶、无掉瓣情况。</w:t>
            </w:r>
          </w:p>
        </w:tc>
        <w:tc>
          <w:tcPr>
            <w:tcW w:w="669" w:type="dxa"/>
            <w:noWrap w:val="0"/>
            <w:vAlign w:val="top"/>
          </w:tcPr>
          <w:p w14:paraId="3182DFA8">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2"/>
                <w:sz w:val="21"/>
                <w:szCs w:val="21"/>
                <w:highlight w:val="none"/>
                <w:u w:val="none"/>
                <w:lang w:val="en-US" w:eastAsia="zh-CN" w:bidi="ar-SA"/>
              </w:rPr>
              <w:t>10枝/捆</w:t>
            </w:r>
          </w:p>
        </w:tc>
        <w:tc>
          <w:tcPr>
            <w:tcW w:w="1322" w:type="dxa"/>
            <w:noWrap w:val="0"/>
            <w:vAlign w:val="center"/>
          </w:tcPr>
          <w:p w14:paraId="2836C611">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kern w:val="2"/>
                <w:sz w:val="21"/>
                <w:szCs w:val="21"/>
                <w:highlight w:val="none"/>
                <w:vertAlign w:val="baseline"/>
                <w:lang w:val="en-US" w:eastAsia="zh-CN" w:bidi="ar-SA"/>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227127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noWrap w:val="0"/>
            <w:vAlign w:val="center"/>
          </w:tcPr>
          <w:p w14:paraId="5818A8E6">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6628" w:type="dxa"/>
            <w:gridSpan w:val="2"/>
            <w:noWrap w:val="0"/>
            <w:vAlign w:val="center"/>
          </w:tcPr>
          <w:p w14:paraId="59CAD88F">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2"/>
                <w:sz w:val="21"/>
                <w:szCs w:val="21"/>
                <w:highlight w:val="none"/>
                <w:u w:val="none"/>
                <w:lang w:val="en-US" w:eastAsia="zh-CN" w:bidi="ar-SA"/>
              </w:rPr>
              <w:t>鱼尾叶</w:t>
            </w:r>
            <w:r>
              <w:rPr>
                <w:rFonts w:hint="default" w:ascii="仿宋_GB2312" w:hAnsi="仿宋_GB2312" w:eastAsia="仿宋_GB2312" w:cs="仿宋_GB2312"/>
                <w:i w:val="0"/>
                <w:iCs w:val="0"/>
                <w:color w:val="000000"/>
                <w:kern w:val="2"/>
                <w:sz w:val="21"/>
                <w:szCs w:val="21"/>
                <w:highlight w:val="none"/>
                <w:u w:val="none"/>
                <w:lang w:val="en-US" w:eastAsia="zh-CN" w:bidi="ar-SA"/>
              </w:rPr>
              <w:t>:</w:t>
            </w:r>
            <w:r>
              <w:rPr>
                <w:rFonts w:hint="eastAsia" w:ascii="仿宋_GB2312" w:hAnsi="仿宋_GB2312" w:eastAsia="仿宋_GB2312" w:cs="仿宋_GB2312"/>
                <w:i w:val="0"/>
                <w:iCs w:val="0"/>
                <w:color w:val="000000"/>
                <w:kern w:val="2"/>
                <w:sz w:val="21"/>
                <w:szCs w:val="21"/>
                <w:highlight w:val="none"/>
                <w:u w:val="none"/>
                <w:lang w:val="en-US" w:eastAsia="zh-CN" w:bidi="ar-SA"/>
              </w:rPr>
              <w:t>当季最大花朵，保证新鲜，须花房剪完三天内的鲜花，无黄叶、无掉瓣情况。</w:t>
            </w:r>
          </w:p>
        </w:tc>
        <w:tc>
          <w:tcPr>
            <w:tcW w:w="669" w:type="dxa"/>
            <w:noWrap w:val="0"/>
            <w:vAlign w:val="top"/>
          </w:tcPr>
          <w:p w14:paraId="5C1E0654">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2"/>
                <w:sz w:val="21"/>
                <w:szCs w:val="21"/>
                <w:highlight w:val="none"/>
                <w:u w:val="none"/>
                <w:lang w:val="en-US" w:eastAsia="zh-CN" w:bidi="ar-SA"/>
              </w:rPr>
              <w:t>10枝/捆</w:t>
            </w:r>
          </w:p>
        </w:tc>
        <w:tc>
          <w:tcPr>
            <w:tcW w:w="1322" w:type="dxa"/>
            <w:noWrap w:val="0"/>
            <w:vAlign w:val="center"/>
          </w:tcPr>
          <w:p w14:paraId="567759B0">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kern w:val="2"/>
                <w:sz w:val="21"/>
                <w:szCs w:val="21"/>
                <w:highlight w:val="none"/>
                <w:vertAlign w:val="baseline"/>
                <w:lang w:val="en-US" w:eastAsia="zh-CN" w:bidi="ar-SA"/>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56571A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noWrap w:val="0"/>
            <w:vAlign w:val="center"/>
          </w:tcPr>
          <w:p w14:paraId="5FF8FA77">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6628" w:type="dxa"/>
            <w:gridSpan w:val="2"/>
            <w:noWrap w:val="0"/>
            <w:vAlign w:val="center"/>
          </w:tcPr>
          <w:p w14:paraId="78EF9095">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2"/>
                <w:sz w:val="21"/>
                <w:szCs w:val="21"/>
                <w:highlight w:val="none"/>
                <w:u w:val="none"/>
                <w:lang w:val="en-US" w:eastAsia="zh-CN" w:bidi="ar-SA"/>
              </w:rPr>
              <w:t>散尾叶</w:t>
            </w:r>
            <w:r>
              <w:rPr>
                <w:rFonts w:hint="default" w:ascii="仿宋_GB2312" w:hAnsi="仿宋_GB2312" w:eastAsia="仿宋_GB2312" w:cs="仿宋_GB2312"/>
                <w:i w:val="0"/>
                <w:iCs w:val="0"/>
                <w:color w:val="000000"/>
                <w:kern w:val="2"/>
                <w:sz w:val="21"/>
                <w:szCs w:val="21"/>
                <w:highlight w:val="none"/>
                <w:u w:val="none"/>
                <w:lang w:val="en-US" w:eastAsia="zh-CN" w:bidi="ar-SA"/>
              </w:rPr>
              <w:t>:</w:t>
            </w:r>
            <w:r>
              <w:rPr>
                <w:rFonts w:hint="eastAsia" w:ascii="仿宋_GB2312" w:hAnsi="仿宋_GB2312" w:eastAsia="仿宋_GB2312" w:cs="仿宋_GB2312"/>
                <w:i w:val="0"/>
                <w:iCs w:val="0"/>
                <w:color w:val="000000"/>
                <w:kern w:val="2"/>
                <w:sz w:val="21"/>
                <w:szCs w:val="21"/>
                <w:highlight w:val="none"/>
                <w:u w:val="none"/>
                <w:lang w:val="en-US" w:eastAsia="zh-CN" w:bidi="ar-SA"/>
              </w:rPr>
              <w:t>当季最大花朵，保证新鲜，须花房剪完三天内的鲜花，无黄叶、无掉瓣情况。</w:t>
            </w:r>
          </w:p>
        </w:tc>
        <w:tc>
          <w:tcPr>
            <w:tcW w:w="669" w:type="dxa"/>
            <w:noWrap w:val="0"/>
            <w:vAlign w:val="top"/>
          </w:tcPr>
          <w:p w14:paraId="62DB5EDD">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2"/>
                <w:sz w:val="21"/>
                <w:szCs w:val="21"/>
                <w:highlight w:val="none"/>
                <w:u w:val="none"/>
                <w:lang w:val="en-US" w:eastAsia="zh-CN" w:bidi="ar-SA"/>
              </w:rPr>
              <w:t>10枝/捆</w:t>
            </w:r>
          </w:p>
        </w:tc>
        <w:tc>
          <w:tcPr>
            <w:tcW w:w="1322" w:type="dxa"/>
            <w:noWrap w:val="0"/>
            <w:vAlign w:val="center"/>
          </w:tcPr>
          <w:p w14:paraId="5C228024">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kern w:val="2"/>
                <w:sz w:val="21"/>
                <w:szCs w:val="21"/>
                <w:highlight w:val="none"/>
                <w:vertAlign w:val="baseline"/>
                <w:lang w:val="en-US" w:eastAsia="zh-CN" w:bidi="ar-SA"/>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18F6B6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noWrap w:val="0"/>
            <w:vAlign w:val="center"/>
          </w:tcPr>
          <w:p w14:paraId="14CD2342">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6628" w:type="dxa"/>
            <w:gridSpan w:val="2"/>
            <w:noWrap w:val="0"/>
            <w:vAlign w:val="center"/>
          </w:tcPr>
          <w:p w14:paraId="2479AE3B">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2"/>
                <w:sz w:val="21"/>
                <w:szCs w:val="21"/>
                <w:highlight w:val="none"/>
                <w:u w:val="none"/>
                <w:lang w:val="en-US" w:eastAsia="zh-CN" w:bidi="ar-SA"/>
              </w:rPr>
              <w:t>八角叶</w:t>
            </w:r>
            <w:r>
              <w:rPr>
                <w:rFonts w:hint="default" w:ascii="仿宋_GB2312" w:hAnsi="仿宋_GB2312" w:eastAsia="仿宋_GB2312" w:cs="仿宋_GB2312"/>
                <w:i w:val="0"/>
                <w:iCs w:val="0"/>
                <w:color w:val="000000"/>
                <w:kern w:val="2"/>
                <w:sz w:val="21"/>
                <w:szCs w:val="21"/>
                <w:highlight w:val="none"/>
                <w:u w:val="none"/>
                <w:lang w:val="en-US" w:eastAsia="zh-CN" w:bidi="ar-SA"/>
              </w:rPr>
              <w:t>:</w:t>
            </w:r>
            <w:r>
              <w:rPr>
                <w:rFonts w:hint="eastAsia" w:ascii="仿宋_GB2312" w:hAnsi="仿宋_GB2312" w:eastAsia="仿宋_GB2312" w:cs="仿宋_GB2312"/>
                <w:i w:val="0"/>
                <w:iCs w:val="0"/>
                <w:color w:val="000000"/>
                <w:kern w:val="2"/>
                <w:sz w:val="21"/>
                <w:szCs w:val="21"/>
                <w:highlight w:val="none"/>
                <w:u w:val="none"/>
                <w:lang w:val="en-US" w:eastAsia="zh-CN" w:bidi="ar-SA"/>
              </w:rPr>
              <w:t>当季最大花朵</w:t>
            </w:r>
            <w:r>
              <w:rPr>
                <w:rFonts w:hint="default" w:ascii="仿宋_GB2312" w:hAnsi="仿宋_GB2312" w:eastAsia="仿宋_GB2312" w:cs="仿宋_GB2312"/>
                <w:i w:val="0"/>
                <w:iCs w:val="0"/>
                <w:color w:val="000000"/>
                <w:kern w:val="2"/>
                <w:sz w:val="21"/>
                <w:szCs w:val="21"/>
                <w:highlight w:val="none"/>
                <w:u w:val="none"/>
                <w:lang w:val="en-US" w:eastAsia="zh-CN" w:bidi="ar-SA"/>
              </w:rPr>
              <w:t>,</w:t>
            </w:r>
            <w:r>
              <w:rPr>
                <w:rFonts w:hint="eastAsia" w:ascii="仿宋_GB2312" w:hAnsi="仿宋_GB2312" w:eastAsia="仿宋_GB2312" w:cs="仿宋_GB2312"/>
                <w:i w:val="0"/>
                <w:iCs w:val="0"/>
                <w:color w:val="000000"/>
                <w:kern w:val="2"/>
                <w:sz w:val="21"/>
                <w:szCs w:val="21"/>
                <w:highlight w:val="none"/>
                <w:u w:val="none"/>
                <w:lang w:val="en-US" w:eastAsia="zh-CN" w:bidi="ar-SA"/>
              </w:rPr>
              <w:t>保证新鲜</w:t>
            </w:r>
            <w:r>
              <w:rPr>
                <w:rFonts w:hint="default" w:ascii="仿宋_GB2312" w:hAnsi="仿宋_GB2312" w:eastAsia="仿宋_GB2312" w:cs="仿宋_GB2312"/>
                <w:i w:val="0"/>
                <w:iCs w:val="0"/>
                <w:color w:val="000000"/>
                <w:kern w:val="2"/>
                <w:sz w:val="21"/>
                <w:szCs w:val="21"/>
                <w:highlight w:val="none"/>
                <w:u w:val="none"/>
                <w:lang w:val="en-US" w:eastAsia="zh-CN" w:bidi="ar-SA"/>
              </w:rPr>
              <w:t>,</w:t>
            </w:r>
            <w:r>
              <w:rPr>
                <w:rFonts w:hint="eastAsia" w:ascii="仿宋_GB2312" w:hAnsi="仿宋_GB2312" w:eastAsia="仿宋_GB2312" w:cs="仿宋_GB2312"/>
                <w:i w:val="0"/>
                <w:iCs w:val="0"/>
                <w:color w:val="000000"/>
                <w:kern w:val="2"/>
                <w:sz w:val="21"/>
                <w:szCs w:val="21"/>
                <w:highlight w:val="none"/>
                <w:u w:val="none"/>
                <w:lang w:val="en-US" w:eastAsia="zh-CN" w:bidi="ar-SA"/>
              </w:rPr>
              <w:t>须花房剪完三天内的鲜花无黄叶、无掉瓣情况。</w:t>
            </w:r>
          </w:p>
        </w:tc>
        <w:tc>
          <w:tcPr>
            <w:tcW w:w="669" w:type="dxa"/>
            <w:noWrap w:val="0"/>
            <w:vAlign w:val="top"/>
          </w:tcPr>
          <w:p w14:paraId="5285AAA8">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2"/>
                <w:sz w:val="21"/>
                <w:szCs w:val="21"/>
                <w:highlight w:val="none"/>
                <w:u w:val="none"/>
                <w:lang w:val="en-US" w:eastAsia="zh-CN" w:bidi="ar-SA"/>
              </w:rPr>
              <w:t>10枝/捆</w:t>
            </w:r>
          </w:p>
        </w:tc>
        <w:tc>
          <w:tcPr>
            <w:tcW w:w="1322" w:type="dxa"/>
            <w:noWrap w:val="0"/>
            <w:vAlign w:val="center"/>
          </w:tcPr>
          <w:p w14:paraId="4BC7353C">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kern w:val="2"/>
                <w:sz w:val="21"/>
                <w:szCs w:val="21"/>
                <w:highlight w:val="none"/>
                <w:vertAlign w:val="baseline"/>
                <w:lang w:val="en-US" w:eastAsia="zh-CN" w:bidi="ar-SA"/>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42F775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noWrap w:val="0"/>
            <w:vAlign w:val="center"/>
          </w:tcPr>
          <w:p w14:paraId="7288AE7F">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noWrap w:val="0"/>
            <w:vAlign w:val="center"/>
          </w:tcPr>
          <w:p w14:paraId="3FF6BC7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2"/>
                <w:sz w:val="21"/>
                <w:szCs w:val="21"/>
                <w:highlight w:val="none"/>
                <w:u w:val="none"/>
                <w:lang w:val="en-US" w:eastAsia="zh-CN" w:bidi="ar-SA"/>
              </w:rPr>
              <w:t>小盆</w:t>
            </w:r>
          </w:p>
        </w:tc>
        <w:tc>
          <w:tcPr>
            <w:tcW w:w="5111" w:type="dxa"/>
            <w:noWrap w:val="0"/>
            <w:vAlign w:val="center"/>
          </w:tcPr>
          <w:p w14:paraId="74063D0F">
            <w:pPr>
              <w:keepNext w:val="0"/>
              <w:keepLines w:val="0"/>
              <w:pageBreakBefore w:val="0"/>
              <w:widowControl/>
              <w:numPr>
                <w:ilvl w:val="0"/>
                <w:numId w:val="2"/>
              </w:numPr>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2"/>
                <w:sz w:val="21"/>
                <w:szCs w:val="21"/>
                <w:highlight w:val="none"/>
                <w:u w:val="none"/>
                <w:lang w:val="en-US" w:eastAsia="zh-CN" w:bidi="ar-SA"/>
              </w:rPr>
              <w:t>尺寸</w:t>
            </w:r>
            <w:r>
              <w:rPr>
                <w:rFonts w:hint="default" w:ascii="仿宋_GB2312" w:hAnsi="仿宋_GB2312" w:eastAsia="仿宋_GB2312" w:cs="仿宋_GB2312"/>
                <w:i w:val="0"/>
                <w:iCs w:val="0"/>
                <w:color w:val="000000"/>
                <w:kern w:val="2"/>
                <w:sz w:val="21"/>
                <w:szCs w:val="21"/>
                <w:highlight w:val="none"/>
                <w:u w:val="none"/>
                <w:lang w:val="en-US" w:eastAsia="zh-CN" w:bidi="ar-SA"/>
              </w:rPr>
              <w:t>:</w:t>
            </w:r>
            <w:r>
              <w:rPr>
                <w:rFonts w:hint="eastAsia" w:ascii="仿宋_GB2312" w:hAnsi="仿宋_GB2312" w:eastAsia="仿宋_GB2312" w:cs="仿宋_GB2312"/>
                <w:i w:val="0"/>
                <w:iCs w:val="0"/>
                <w:color w:val="000000"/>
                <w:kern w:val="2"/>
                <w:sz w:val="21"/>
                <w:szCs w:val="21"/>
                <w:highlight w:val="none"/>
                <w:u w:val="none"/>
                <w:lang w:val="en-US" w:eastAsia="zh-CN" w:bidi="ar-SA"/>
              </w:rPr>
              <w:t>长</w:t>
            </w:r>
            <w:r>
              <w:rPr>
                <w:rFonts w:hint="default" w:ascii="仿宋_GB2312" w:hAnsi="仿宋_GB2312" w:eastAsia="仿宋_GB2312" w:cs="仿宋_GB2312"/>
                <w:i w:val="0"/>
                <w:iCs w:val="0"/>
                <w:color w:val="000000"/>
                <w:kern w:val="2"/>
                <w:sz w:val="21"/>
                <w:szCs w:val="21"/>
                <w:highlight w:val="none"/>
                <w:u w:val="none"/>
                <w:lang w:val="en-US" w:eastAsia="zh-CN" w:bidi="ar-SA"/>
              </w:rPr>
              <w:t>:170mm,</w:t>
            </w:r>
            <w:r>
              <w:rPr>
                <w:rFonts w:hint="eastAsia" w:ascii="仿宋_GB2312" w:hAnsi="仿宋_GB2312" w:eastAsia="仿宋_GB2312" w:cs="仿宋_GB2312"/>
                <w:i w:val="0"/>
                <w:iCs w:val="0"/>
                <w:color w:val="000000"/>
                <w:kern w:val="2"/>
                <w:sz w:val="21"/>
                <w:szCs w:val="21"/>
                <w:highlight w:val="none"/>
                <w:u w:val="none"/>
                <w:lang w:val="en-US" w:eastAsia="zh-CN" w:bidi="ar-SA"/>
              </w:rPr>
              <w:t>高</w:t>
            </w:r>
            <w:r>
              <w:rPr>
                <w:rFonts w:hint="default" w:ascii="仿宋_GB2312" w:hAnsi="仿宋_GB2312" w:eastAsia="仿宋_GB2312" w:cs="仿宋_GB2312"/>
                <w:i w:val="0"/>
                <w:iCs w:val="0"/>
                <w:color w:val="000000"/>
                <w:kern w:val="2"/>
                <w:sz w:val="21"/>
                <w:szCs w:val="21"/>
                <w:highlight w:val="none"/>
                <w:u w:val="none"/>
                <w:lang w:val="en-US" w:eastAsia="zh-CN" w:bidi="ar-SA"/>
              </w:rPr>
              <w:t>112mm</w:t>
            </w:r>
            <w:r>
              <w:rPr>
                <w:rFonts w:hint="eastAsia" w:ascii="仿宋_GB2312" w:hAnsi="仿宋_GB2312" w:eastAsia="仿宋_GB2312" w:cs="仿宋_GB2312"/>
                <w:i w:val="0"/>
                <w:iCs w:val="0"/>
                <w:color w:val="000000"/>
                <w:kern w:val="2"/>
                <w:sz w:val="21"/>
                <w:szCs w:val="21"/>
                <w:highlight w:val="none"/>
                <w:u w:val="none"/>
                <w:lang w:val="en-US" w:eastAsia="zh-CN" w:bidi="ar-SA"/>
              </w:rPr>
              <w:t>。</w:t>
            </w:r>
          </w:p>
          <w:p w14:paraId="31E9FD76">
            <w:pPr>
              <w:keepNext w:val="0"/>
              <w:keepLines w:val="0"/>
              <w:pageBreakBefore w:val="0"/>
              <w:widowControl/>
              <w:numPr>
                <w:ilvl w:val="0"/>
                <w:numId w:val="0"/>
              </w:numPr>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0"/>
                <w:sz w:val="21"/>
                <w:szCs w:val="21"/>
                <w:highlight w:val="none"/>
                <w:u w:val="none"/>
                <w:lang w:val="en-US" w:eastAsia="zh-CN" w:bidi="ar"/>
              </w:rPr>
              <w:t>（2）</w:t>
            </w:r>
            <w:r>
              <w:rPr>
                <w:rFonts w:hint="eastAsia" w:ascii="仿宋_GB2312" w:hAnsi="仿宋_GB2312" w:eastAsia="仿宋_GB2312" w:cs="仿宋_GB2312"/>
                <w:i w:val="0"/>
                <w:iCs w:val="0"/>
                <w:color w:val="000000"/>
                <w:kern w:val="2"/>
                <w:sz w:val="21"/>
                <w:szCs w:val="21"/>
                <w:highlight w:val="none"/>
                <w:u w:val="none"/>
                <w:lang w:val="en-US" w:eastAsia="zh-CN" w:bidi="ar-SA"/>
              </w:rPr>
              <w:t>材质</w:t>
            </w:r>
            <w:r>
              <w:rPr>
                <w:rFonts w:hint="default" w:ascii="仿宋_GB2312" w:hAnsi="仿宋_GB2312" w:eastAsia="仿宋_GB2312" w:cs="仿宋_GB2312"/>
                <w:i w:val="0"/>
                <w:iCs w:val="0"/>
                <w:color w:val="000000"/>
                <w:kern w:val="2"/>
                <w:sz w:val="21"/>
                <w:szCs w:val="21"/>
                <w:highlight w:val="none"/>
                <w:u w:val="none"/>
                <w:lang w:val="en-US" w:eastAsia="zh-CN" w:bidi="ar-SA"/>
              </w:rPr>
              <w:t>:</w:t>
            </w:r>
            <w:r>
              <w:rPr>
                <w:rFonts w:hint="eastAsia" w:ascii="仿宋_GB2312" w:hAnsi="仿宋_GB2312" w:eastAsia="仿宋_GB2312" w:cs="仿宋_GB2312"/>
                <w:i w:val="0"/>
                <w:iCs w:val="0"/>
                <w:color w:val="000000"/>
                <w:kern w:val="2"/>
                <w:sz w:val="21"/>
                <w:szCs w:val="21"/>
                <w:highlight w:val="none"/>
                <w:u w:val="none"/>
                <w:lang w:val="en-US" w:eastAsia="zh-CN" w:bidi="ar-SA"/>
              </w:rPr>
              <w:t>塑料。</w:t>
            </w:r>
          </w:p>
        </w:tc>
        <w:tc>
          <w:tcPr>
            <w:tcW w:w="669" w:type="dxa"/>
            <w:noWrap w:val="0"/>
            <w:vAlign w:val="center"/>
          </w:tcPr>
          <w:p w14:paraId="53A01592">
            <w:pPr>
              <w:keepNext w:val="0"/>
              <w:keepLines w:val="0"/>
              <w:widowControl/>
              <w:suppressLineNumbers w:val="0"/>
              <w:jc w:val="center"/>
              <w:textAlignment w:val="center"/>
              <w:rPr>
                <w:rFonts w:hint="eastAsia" w:ascii="Times New Roman" w:hAnsi="Times New Roman" w:eastAsia="宋体" w:cs="Times New Roman"/>
                <w:b w:val="0"/>
                <w:bCs w:val="0"/>
                <w:i w:val="0"/>
                <w:iCs w:val="0"/>
                <w:color w:val="000000"/>
                <w:kern w:val="2"/>
                <w:sz w:val="21"/>
                <w:szCs w:val="21"/>
                <w:highlight w:val="none"/>
                <w:u w:val="none"/>
                <w:lang w:val="en-US" w:eastAsia="zh-CN" w:bidi="ar-SA"/>
              </w:rPr>
            </w:pPr>
            <w:r>
              <w:rPr>
                <w:rFonts w:hint="default" w:ascii="Times New Roman" w:hAnsi="Times New Roman" w:eastAsia="宋体" w:cs="Times New Roman"/>
                <w:b w:val="0"/>
                <w:bCs w:val="0"/>
                <w:i w:val="0"/>
                <w:iCs w:val="0"/>
                <w:color w:val="000000"/>
                <w:kern w:val="0"/>
                <w:sz w:val="21"/>
                <w:szCs w:val="21"/>
                <w:highlight w:val="none"/>
                <w:u w:val="none"/>
                <w:lang w:val="en-US" w:eastAsia="zh-CN" w:bidi="ar"/>
              </w:rPr>
              <w:t>1</w:t>
            </w:r>
            <w:r>
              <w:rPr>
                <w:rFonts w:hint="eastAsia" w:ascii="宋体" w:hAnsi="宋体" w:eastAsia="宋体" w:cs="宋体"/>
                <w:b w:val="0"/>
                <w:bCs w:val="0"/>
                <w:i w:val="0"/>
                <w:iCs w:val="0"/>
                <w:color w:val="000000"/>
                <w:kern w:val="0"/>
                <w:sz w:val="21"/>
                <w:szCs w:val="21"/>
                <w:highlight w:val="none"/>
                <w:u w:val="none"/>
                <w:lang w:val="en-US" w:eastAsia="zh-CN" w:bidi="ar"/>
              </w:rPr>
              <w:t>个</w:t>
            </w:r>
          </w:p>
        </w:tc>
        <w:tc>
          <w:tcPr>
            <w:tcW w:w="1322" w:type="dxa"/>
            <w:noWrap w:val="0"/>
            <w:vAlign w:val="center"/>
          </w:tcPr>
          <w:p w14:paraId="56F7750E">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kern w:val="2"/>
                <w:sz w:val="21"/>
                <w:szCs w:val="21"/>
                <w:highlight w:val="none"/>
                <w:vertAlign w:val="baseline"/>
                <w:lang w:val="en-US" w:eastAsia="zh-CN" w:bidi="ar-SA"/>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0F8F3AA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noWrap w:val="0"/>
            <w:vAlign w:val="center"/>
          </w:tcPr>
          <w:p w14:paraId="34FE54D9">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noWrap w:val="0"/>
            <w:vAlign w:val="center"/>
          </w:tcPr>
          <w:p w14:paraId="4ED81D8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2"/>
                <w:sz w:val="21"/>
                <w:szCs w:val="21"/>
                <w:highlight w:val="none"/>
                <w:u w:val="none"/>
                <w:lang w:val="en-US" w:eastAsia="zh-CN" w:bidi="ar-SA"/>
              </w:rPr>
              <w:t>花泥</w:t>
            </w:r>
          </w:p>
        </w:tc>
        <w:tc>
          <w:tcPr>
            <w:tcW w:w="5111" w:type="dxa"/>
            <w:noWrap w:val="0"/>
            <w:vAlign w:val="center"/>
          </w:tcPr>
          <w:p w14:paraId="777E0125">
            <w:pPr>
              <w:keepNext w:val="0"/>
              <w:keepLines w:val="0"/>
              <w:pageBreakBefore w:val="0"/>
              <w:widowControl/>
              <w:numPr>
                <w:ilvl w:val="0"/>
                <w:numId w:val="3"/>
              </w:numPr>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2"/>
                <w:sz w:val="21"/>
                <w:szCs w:val="21"/>
                <w:highlight w:val="none"/>
                <w:u w:val="none"/>
                <w:lang w:val="en-US" w:eastAsia="zh-CN" w:bidi="ar-SA"/>
              </w:rPr>
              <w:t>尺寸</w:t>
            </w:r>
            <w:r>
              <w:rPr>
                <w:rFonts w:hint="default" w:ascii="仿宋_GB2312" w:hAnsi="仿宋_GB2312" w:eastAsia="仿宋_GB2312" w:cs="仿宋_GB2312"/>
                <w:i w:val="0"/>
                <w:iCs w:val="0"/>
                <w:color w:val="000000"/>
                <w:kern w:val="2"/>
                <w:sz w:val="21"/>
                <w:szCs w:val="21"/>
                <w:highlight w:val="none"/>
                <w:u w:val="none"/>
                <w:lang w:val="en-US" w:eastAsia="zh-CN" w:bidi="ar-SA"/>
              </w:rPr>
              <w:t>:</w:t>
            </w:r>
            <w:r>
              <w:rPr>
                <w:rFonts w:hint="eastAsia" w:ascii="仿宋_GB2312" w:hAnsi="仿宋_GB2312" w:eastAsia="仿宋_GB2312" w:cs="仿宋_GB2312"/>
                <w:i w:val="0"/>
                <w:iCs w:val="0"/>
                <w:color w:val="000000"/>
                <w:kern w:val="2"/>
                <w:sz w:val="21"/>
                <w:szCs w:val="21"/>
                <w:highlight w:val="none"/>
                <w:u w:val="none"/>
                <w:lang w:val="en-US" w:eastAsia="zh-CN" w:bidi="ar-SA"/>
              </w:rPr>
              <w:t>长</w:t>
            </w:r>
            <w:r>
              <w:rPr>
                <w:rFonts w:hint="default" w:ascii="仿宋_GB2312" w:hAnsi="仿宋_GB2312" w:eastAsia="仿宋_GB2312" w:cs="仿宋_GB2312"/>
                <w:i w:val="0"/>
                <w:iCs w:val="0"/>
                <w:color w:val="000000"/>
                <w:kern w:val="2"/>
                <w:sz w:val="21"/>
                <w:szCs w:val="21"/>
                <w:highlight w:val="none"/>
                <w:u w:val="none"/>
                <w:lang w:val="en-US" w:eastAsia="zh-CN" w:bidi="ar-SA"/>
              </w:rPr>
              <w:t>:225mm</w:t>
            </w:r>
            <w:r>
              <w:rPr>
                <w:rFonts w:hint="eastAsia" w:ascii="仿宋_GB2312" w:hAnsi="仿宋_GB2312" w:eastAsia="仿宋_GB2312" w:cs="仿宋_GB2312"/>
                <w:i w:val="0"/>
                <w:iCs w:val="0"/>
                <w:color w:val="000000"/>
                <w:kern w:val="2"/>
                <w:sz w:val="21"/>
                <w:szCs w:val="21"/>
                <w:highlight w:val="none"/>
                <w:u w:val="none"/>
                <w:lang w:val="en-US" w:eastAsia="zh-CN" w:bidi="ar-SA"/>
              </w:rPr>
              <w:t>，宽</w:t>
            </w:r>
            <w:r>
              <w:rPr>
                <w:rFonts w:hint="default" w:ascii="仿宋_GB2312" w:hAnsi="仿宋_GB2312" w:eastAsia="仿宋_GB2312" w:cs="仿宋_GB2312"/>
                <w:i w:val="0"/>
                <w:iCs w:val="0"/>
                <w:color w:val="000000"/>
                <w:kern w:val="2"/>
                <w:sz w:val="21"/>
                <w:szCs w:val="21"/>
                <w:highlight w:val="none"/>
                <w:u w:val="none"/>
                <w:lang w:val="en-US" w:eastAsia="zh-CN" w:bidi="ar-SA"/>
              </w:rPr>
              <w:t>105mm</w:t>
            </w:r>
            <w:r>
              <w:rPr>
                <w:rFonts w:hint="eastAsia" w:ascii="仿宋_GB2312" w:hAnsi="仿宋_GB2312" w:eastAsia="仿宋_GB2312" w:cs="仿宋_GB2312"/>
                <w:i w:val="0"/>
                <w:iCs w:val="0"/>
                <w:color w:val="000000"/>
                <w:kern w:val="2"/>
                <w:sz w:val="21"/>
                <w:szCs w:val="21"/>
                <w:highlight w:val="none"/>
                <w:u w:val="none"/>
                <w:lang w:val="en-US" w:eastAsia="zh-CN" w:bidi="ar-SA"/>
              </w:rPr>
              <w:t>，高</w:t>
            </w:r>
            <w:r>
              <w:rPr>
                <w:rFonts w:hint="default" w:ascii="仿宋_GB2312" w:hAnsi="仿宋_GB2312" w:eastAsia="仿宋_GB2312" w:cs="仿宋_GB2312"/>
                <w:i w:val="0"/>
                <w:iCs w:val="0"/>
                <w:color w:val="000000"/>
                <w:kern w:val="2"/>
                <w:sz w:val="21"/>
                <w:szCs w:val="21"/>
                <w:highlight w:val="none"/>
                <w:u w:val="none"/>
                <w:lang w:val="en-US" w:eastAsia="zh-CN" w:bidi="ar-SA"/>
              </w:rPr>
              <w:t>70mm</w:t>
            </w:r>
            <w:r>
              <w:rPr>
                <w:rFonts w:hint="eastAsia" w:ascii="仿宋_GB2312" w:hAnsi="仿宋_GB2312" w:eastAsia="仿宋_GB2312" w:cs="仿宋_GB2312"/>
                <w:i w:val="0"/>
                <w:iCs w:val="0"/>
                <w:color w:val="000000"/>
                <w:kern w:val="2"/>
                <w:sz w:val="21"/>
                <w:szCs w:val="21"/>
                <w:highlight w:val="none"/>
                <w:u w:val="none"/>
                <w:lang w:val="en-US" w:eastAsia="zh-CN" w:bidi="ar-SA"/>
              </w:rPr>
              <w:t>。</w:t>
            </w:r>
          </w:p>
          <w:p w14:paraId="142219A0">
            <w:pPr>
              <w:keepNext w:val="0"/>
              <w:keepLines w:val="0"/>
              <w:pageBreakBefore w:val="0"/>
              <w:widowControl/>
              <w:numPr>
                <w:ilvl w:val="0"/>
                <w:numId w:val="0"/>
              </w:numPr>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2"/>
                <w:sz w:val="21"/>
                <w:szCs w:val="21"/>
                <w:highlight w:val="none"/>
                <w:u w:val="none"/>
                <w:lang w:val="en-US" w:eastAsia="zh-CN" w:bidi="ar-SA"/>
              </w:rPr>
              <w:t>（2）材质</w:t>
            </w:r>
            <w:r>
              <w:rPr>
                <w:rFonts w:hint="default" w:ascii="仿宋_GB2312" w:hAnsi="仿宋_GB2312" w:eastAsia="仿宋_GB2312" w:cs="仿宋_GB2312"/>
                <w:i w:val="0"/>
                <w:iCs w:val="0"/>
                <w:color w:val="000000"/>
                <w:kern w:val="2"/>
                <w:sz w:val="21"/>
                <w:szCs w:val="21"/>
                <w:highlight w:val="none"/>
                <w:u w:val="none"/>
                <w:lang w:val="en-US" w:eastAsia="zh-CN" w:bidi="ar-SA"/>
              </w:rPr>
              <w:t>:</w:t>
            </w:r>
            <w:r>
              <w:rPr>
                <w:rFonts w:hint="eastAsia" w:ascii="仿宋_GB2312" w:hAnsi="仿宋_GB2312" w:eastAsia="仿宋_GB2312" w:cs="仿宋_GB2312"/>
                <w:i w:val="0"/>
                <w:iCs w:val="0"/>
                <w:color w:val="000000"/>
                <w:kern w:val="2"/>
                <w:sz w:val="21"/>
                <w:szCs w:val="21"/>
                <w:highlight w:val="none"/>
                <w:u w:val="none"/>
                <w:lang w:val="en-US" w:eastAsia="zh-CN" w:bidi="ar-SA"/>
              </w:rPr>
              <w:t>酚醛树脂。</w:t>
            </w:r>
          </w:p>
        </w:tc>
        <w:tc>
          <w:tcPr>
            <w:tcW w:w="669" w:type="dxa"/>
            <w:noWrap w:val="0"/>
            <w:vAlign w:val="center"/>
          </w:tcPr>
          <w:p w14:paraId="2875DD83">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default" w:ascii="仿宋_GB2312" w:hAnsi="仿宋_GB2312" w:eastAsia="仿宋_GB2312" w:cs="仿宋_GB2312"/>
                <w:i w:val="0"/>
                <w:iCs w:val="0"/>
                <w:color w:val="000000"/>
                <w:kern w:val="2"/>
                <w:sz w:val="21"/>
                <w:szCs w:val="21"/>
                <w:highlight w:val="none"/>
                <w:u w:val="none"/>
                <w:lang w:val="en-US" w:eastAsia="zh-CN" w:bidi="ar-SA"/>
              </w:rPr>
              <w:t>20</w:t>
            </w:r>
            <w:r>
              <w:rPr>
                <w:rFonts w:hint="eastAsia" w:ascii="仿宋_GB2312" w:hAnsi="仿宋_GB2312" w:eastAsia="仿宋_GB2312" w:cs="仿宋_GB2312"/>
                <w:i w:val="0"/>
                <w:iCs w:val="0"/>
                <w:color w:val="000000"/>
                <w:kern w:val="2"/>
                <w:sz w:val="21"/>
                <w:szCs w:val="21"/>
                <w:highlight w:val="none"/>
                <w:u w:val="none"/>
                <w:lang w:val="en-US" w:eastAsia="zh-CN" w:bidi="ar-SA"/>
              </w:rPr>
              <w:t>块</w:t>
            </w:r>
            <w:r>
              <w:rPr>
                <w:rFonts w:hint="default" w:ascii="仿宋_GB2312" w:hAnsi="仿宋_GB2312" w:eastAsia="仿宋_GB2312" w:cs="仿宋_GB2312"/>
                <w:i w:val="0"/>
                <w:iCs w:val="0"/>
                <w:color w:val="000000"/>
                <w:kern w:val="2"/>
                <w:sz w:val="21"/>
                <w:szCs w:val="21"/>
                <w:highlight w:val="none"/>
                <w:u w:val="none"/>
                <w:lang w:val="en-US" w:eastAsia="zh-CN" w:bidi="ar-SA"/>
              </w:rPr>
              <w:t>/</w:t>
            </w:r>
            <w:r>
              <w:rPr>
                <w:rFonts w:hint="eastAsia" w:ascii="仿宋_GB2312" w:hAnsi="仿宋_GB2312" w:eastAsia="仿宋_GB2312" w:cs="仿宋_GB2312"/>
                <w:i w:val="0"/>
                <w:iCs w:val="0"/>
                <w:color w:val="000000"/>
                <w:kern w:val="2"/>
                <w:sz w:val="21"/>
                <w:szCs w:val="21"/>
                <w:highlight w:val="none"/>
                <w:u w:val="none"/>
                <w:lang w:val="en-US" w:eastAsia="zh-CN" w:bidi="ar-SA"/>
              </w:rPr>
              <w:t>箱</w:t>
            </w:r>
          </w:p>
        </w:tc>
        <w:tc>
          <w:tcPr>
            <w:tcW w:w="1322" w:type="dxa"/>
            <w:noWrap w:val="0"/>
            <w:vAlign w:val="center"/>
          </w:tcPr>
          <w:p w14:paraId="4C20669E">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kern w:val="2"/>
                <w:sz w:val="21"/>
                <w:szCs w:val="21"/>
                <w:highlight w:val="none"/>
                <w:vertAlign w:val="baseline"/>
                <w:lang w:val="en-US" w:eastAsia="zh-CN" w:bidi="ar-SA"/>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6B8AB1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noWrap w:val="0"/>
            <w:vAlign w:val="center"/>
          </w:tcPr>
          <w:p w14:paraId="6E92D7B9">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noWrap w:val="0"/>
            <w:vAlign w:val="center"/>
          </w:tcPr>
          <w:p w14:paraId="2D48A55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2"/>
                <w:sz w:val="21"/>
                <w:szCs w:val="21"/>
                <w:highlight w:val="none"/>
                <w:u w:val="none"/>
                <w:lang w:val="en-US" w:eastAsia="zh-CN" w:bidi="ar-SA"/>
              </w:rPr>
              <w:t>花泥板</w:t>
            </w:r>
          </w:p>
        </w:tc>
        <w:tc>
          <w:tcPr>
            <w:tcW w:w="5111" w:type="dxa"/>
            <w:noWrap w:val="0"/>
            <w:vAlign w:val="center"/>
          </w:tcPr>
          <w:p w14:paraId="517651E5">
            <w:pPr>
              <w:keepNext w:val="0"/>
              <w:keepLines w:val="0"/>
              <w:pageBreakBefore w:val="0"/>
              <w:widowControl/>
              <w:numPr>
                <w:ilvl w:val="0"/>
                <w:numId w:val="4"/>
              </w:numPr>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2"/>
                <w:sz w:val="21"/>
                <w:szCs w:val="21"/>
                <w:highlight w:val="none"/>
                <w:u w:val="none"/>
                <w:lang w:val="en-US" w:eastAsia="zh-CN" w:bidi="ar-SA"/>
              </w:rPr>
              <w:t>尺寸</w:t>
            </w:r>
            <w:r>
              <w:rPr>
                <w:rFonts w:hint="default" w:ascii="仿宋_GB2312" w:hAnsi="仿宋_GB2312" w:eastAsia="仿宋_GB2312" w:cs="仿宋_GB2312"/>
                <w:i w:val="0"/>
                <w:iCs w:val="0"/>
                <w:color w:val="000000"/>
                <w:kern w:val="2"/>
                <w:sz w:val="21"/>
                <w:szCs w:val="21"/>
                <w:highlight w:val="none"/>
                <w:u w:val="none"/>
                <w:lang w:val="en-US" w:eastAsia="zh-CN" w:bidi="ar-SA"/>
              </w:rPr>
              <w:t>:</w:t>
            </w:r>
            <w:r>
              <w:rPr>
                <w:rFonts w:hint="eastAsia" w:ascii="仿宋_GB2312" w:hAnsi="仿宋_GB2312" w:eastAsia="仿宋_GB2312" w:cs="仿宋_GB2312"/>
                <w:i w:val="0"/>
                <w:iCs w:val="0"/>
                <w:color w:val="000000"/>
                <w:kern w:val="2"/>
                <w:sz w:val="21"/>
                <w:szCs w:val="21"/>
                <w:highlight w:val="none"/>
                <w:u w:val="none"/>
                <w:lang w:val="en-US" w:eastAsia="zh-CN" w:bidi="ar-SA"/>
              </w:rPr>
              <w:t>长</w:t>
            </w:r>
            <w:r>
              <w:rPr>
                <w:rFonts w:hint="default" w:ascii="仿宋_GB2312" w:hAnsi="仿宋_GB2312" w:eastAsia="仿宋_GB2312" w:cs="仿宋_GB2312"/>
                <w:i w:val="0"/>
                <w:iCs w:val="0"/>
                <w:color w:val="000000"/>
                <w:kern w:val="2"/>
                <w:sz w:val="21"/>
                <w:szCs w:val="21"/>
                <w:highlight w:val="none"/>
                <w:u w:val="none"/>
                <w:lang w:val="en-US" w:eastAsia="zh-CN" w:bidi="ar-SA"/>
              </w:rPr>
              <w:t>:1080mm,</w:t>
            </w:r>
            <w:r>
              <w:rPr>
                <w:rFonts w:hint="eastAsia" w:ascii="仿宋_GB2312" w:hAnsi="仿宋_GB2312" w:eastAsia="仿宋_GB2312" w:cs="仿宋_GB2312"/>
                <w:i w:val="0"/>
                <w:iCs w:val="0"/>
                <w:color w:val="000000"/>
                <w:kern w:val="2"/>
                <w:sz w:val="21"/>
                <w:szCs w:val="21"/>
                <w:highlight w:val="none"/>
                <w:u w:val="none"/>
                <w:lang w:val="en-US" w:eastAsia="zh-CN" w:bidi="ar-SA"/>
              </w:rPr>
              <w:t>宽</w:t>
            </w:r>
            <w:r>
              <w:rPr>
                <w:rFonts w:hint="default" w:ascii="仿宋_GB2312" w:hAnsi="仿宋_GB2312" w:eastAsia="仿宋_GB2312" w:cs="仿宋_GB2312"/>
                <w:i w:val="0"/>
                <w:iCs w:val="0"/>
                <w:color w:val="000000"/>
                <w:kern w:val="2"/>
                <w:sz w:val="21"/>
                <w:szCs w:val="21"/>
                <w:highlight w:val="none"/>
                <w:u w:val="none"/>
                <w:lang w:val="en-US" w:eastAsia="zh-CN" w:bidi="ar-SA"/>
              </w:rPr>
              <w:t>890mm,</w:t>
            </w:r>
            <w:r>
              <w:rPr>
                <w:rFonts w:hint="eastAsia" w:ascii="仿宋_GB2312" w:hAnsi="仿宋_GB2312" w:eastAsia="仿宋_GB2312" w:cs="仿宋_GB2312"/>
                <w:i w:val="0"/>
                <w:iCs w:val="0"/>
                <w:color w:val="000000"/>
                <w:kern w:val="2"/>
                <w:sz w:val="21"/>
                <w:szCs w:val="21"/>
                <w:highlight w:val="none"/>
                <w:u w:val="none"/>
                <w:lang w:val="en-US" w:eastAsia="zh-CN" w:bidi="ar-SA"/>
              </w:rPr>
              <w:t>高</w:t>
            </w:r>
            <w:r>
              <w:rPr>
                <w:rFonts w:hint="default" w:ascii="仿宋_GB2312" w:hAnsi="仿宋_GB2312" w:eastAsia="仿宋_GB2312" w:cs="仿宋_GB2312"/>
                <w:i w:val="0"/>
                <w:iCs w:val="0"/>
                <w:color w:val="000000"/>
                <w:kern w:val="2"/>
                <w:sz w:val="21"/>
                <w:szCs w:val="21"/>
                <w:highlight w:val="none"/>
                <w:u w:val="none"/>
                <w:lang w:val="en-US" w:eastAsia="zh-CN" w:bidi="ar-SA"/>
              </w:rPr>
              <w:t>40mm</w:t>
            </w:r>
            <w:r>
              <w:rPr>
                <w:rFonts w:hint="eastAsia" w:ascii="仿宋_GB2312" w:hAnsi="仿宋_GB2312" w:eastAsia="仿宋_GB2312" w:cs="仿宋_GB2312"/>
                <w:i w:val="0"/>
                <w:iCs w:val="0"/>
                <w:color w:val="000000"/>
                <w:kern w:val="2"/>
                <w:sz w:val="21"/>
                <w:szCs w:val="21"/>
                <w:highlight w:val="none"/>
                <w:u w:val="none"/>
                <w:lang w:val="en-US" w:eastAsia="zh-CN" w:bidi="ar-SA"/>
              </w:rPr>
              <w:t>。</w:t>
            </w:r>
          </w:p>
          <w:p w14:paraId="6B6D2FC0">
            <w:pPr>
              <w:keepNext w:val="0"/>
              <w:keepLines w:val="0"/>
              <w:pageBreakBefore w:val="0"/>
              <w:widowControl/>
              <w:numPr>
                <w:ilvl w:val="0"/>
                <w:numId w:val="0"/>
              </w:numPr>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2"/>
                <w:sz w:val="21"/>
                <w:szCs w:val="21"/>
                <w:highlight w:val="none"/>
                <w:u w:val="none"/>
                <w:lang w:val="en-US" w:eastAsia="zh-CN" w:bidi="ar-SA"/>
              </w:rPr>
              <w:t>（2）材质</w:t>
            </w:r>
            <w:r>
              <w:rPr>
                <w:rFonts w:hint="default" w:ascii="仿宋_GB2312" w:hAnsi="仿宋_GB2312" w:eastAsia="仿宋_GB2312" w:cs="仿宋_GB2312"/>
                <w:i w:val="0"/>
                <w:iCs w:val="0"/>
                <w:color w:val="000000"/>
                <w:kern w:val="2"/>
                <w:sz w:val="21"/>
                <w:szCs w:val="21"/>
                <w:highlight w:val="none"/>
                <w:u w:val="none"/>
                <w:lang w:val="en-US" w:eastAsia="zh-CN" w:bidi="ar-SA"/>
              </w:rPr>
              <w:t>:</w:t>
            </w:r>
            <w:r>
              <w:rPr>
                <w:rFonts w:hint="eastAsia" w:ascii="仿宋_GB2312" w:hAnsi="仿宋_GB2312" w:eastAsia="仿宋_GB2312" w:cs="仿宋_GB2312"/>
                <w:i w:val="0"/>
                <w:iCs w:val="0"/>
                <w:color w:val="000000"/>
                <w:kern w:val="2"/>
                <w:sz w:val="21"/>
                <w:szCs w:val="21"/>
                <w:highlight w:val="none"/>
                <w:u w:val="none"/>
                <w:lang w:val="en-US" w:eastAsia="zh-CN" w:bidi="ar-SA"/>
              </w:rPr>
              <w:t>醛树脂。</w:t>
            </w:r>
          </w:p>
        </w:tc>
        <w:tc>
          <w:tcPr>
            <w:tcW w:w="669" w:type="dxa"/>
            <w:noWrap w:val="0"/>
            <w:vAlign w:val="center"/>
          </w:tcPr>
          <w:p w14:paraId="2A9755F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2"/>
                <w:sz w:val="21"/>
                <w:szCs w:val="21"/>
                <w:highlight w:val="none"/>
                <w:u w:val="none"/>
                <w:lang w:val="en-US" w:eastAsia="zh-CN" w:bidi="ar-SA"/>
              </w:rPr>
              <w:t>1张</w:t>
            </w:r>
          </w:p>
        </w:tc>
        <w:tc>
          <w:tcPr>
            <w:tcW w:w="1322" w:type="dxa"/>
            <w:noWrap w:val="0"/>
            <w:vAlign w:val="center"/>
          </w:tcPr>
          <w:p w14:paraId="0660B1A9">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kern w:val="2"/>
                <w:sz w:val="21"/>
                <w:szCs w:val="21"/>
                <w:highlight w:val="none"/>
                <w:vertAlign w:val="baseline"/>
                <w:lang w:val="en-US" w:eastAsia="zh-CN" w:bidi="ar-SA"/>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3A1AC0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noWrap w:val="0"/>
            <w:vAlign w:val="center"/>
          </w:tcPr>
          <w:p w14:paraId="024A9350">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noWrap w:val="0"/>
            <w:vAlign w:val="center"/>
          </w:tcPr>
          <w:p w14:paraId="1FB1F5B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2"/>
                <w:sz w:val="21"/>
                <w:szCs w:val="21"/>
                <w:highlight w:val="none"/>
                <w:u w:val="none"/>
                <w:lang w:val="en-US" w:eastAsia="zh-CN" w:bidi="ar-SA"/>
              </w:rPr>
              <w:t>实木三角花架</w:t>
            </w:r>
          </w:p>
        </w:tc>
        <w:tc>
          <w:tcPr>
            <w:tcW w:w="5111" w:type="dxa"/>
            <w:noWrap w:val="0"/>
            <w:vAlign w:val="center"/>
          </w:tcPr>
          <w:p w14:paraId="43C405B2">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2"/>
                <w:sz w:val="21"/>
                <w:szCs w:val="21"/>
                <w:highlight w:val="none"/>
                <w:u w:val="none"/>
                <w:lang w:val="en-US" w:eastAsia="zh-CN" w:bidi="ar-SA"/>
              </w:rPr>
              <w:t>高1.2m</w:t>
            </w:r>
          </w:p>
        </w:tc>
        <w:tc>
          <w:tcPr>
            <w:tcW w:w="669" w:type="dxa"/>
            <w:noWrap w:val="0"/>
            <w:vAlign w:val="center"/>
          </w:tcPr>
          <w:p w14:paraId="512CD6D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2"/>
                <w:sz w:val="21"/>
                <w:szCs w:val="21"/>
                <w:highlight w:val="none"/>
                <w:u w:val="none"/>
                <w:lang w:val="en-US" w:eastAsia="zh-CN" w:bidi="ar-SA"/>
              </w:rPr>
              <w:t>1个</w:t>
            </w:r>
          </w:p>
        </w:tc>
        <w:tc>
          <w:tcPr>
            <w:tcW w:w="1322" w:type="dxa"/>
            <w:noWrap w:val="0"/>
            <w:vAlign w:val="center"/>
          </w:tcPr>
          <w:p w14:paraId="4E4D4A84">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kern w:val="2"/>
                <w:sz w:val="21"/>
                <w:szCs w:val="21"/>
                <w:highlight w:val="none"/>
                <w:vertAlign w:val="baseline"/>
                <w:lang w:val="en-US" w:eastAsia="zh-CN" w:bidi="ar-SA"/>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527031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noWrap w:val="0"/>
            <w:vAlign w:val="center"/>
          </w:tcPr>
          <w:p w14:paraId="2E69B3C8">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noWrap w:val="0"/>
            <w:vAlign w:val="center"/>
          </w:tcPr>
          <w:p w14:paraId="30C7FC6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2"/>
                <w:sz w:val="21"/>
                <w:szCs w:val="21"/>
                <w:highlight w:val="none"/>
                <w:u w:val="none"/>
                <w:lang w:val="en-US" w:eastAsia="zh-CN" w:bidi="ar-SA"/>
              </w:rPr>
              <w:t>竹编花架</w:t>
            </w:r>
          </w:p>
        </w:tc>
        <w:tc>
          <w:tcPr>
            <w:tcW w:w="5111" w:type="dxa"/>
            <w:noWrap w:val="0"/>
            <w:vAlign w:val="center"/>
          </w:tcPr>
          <w:p w14:paraId="3DF36E9B">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2"/>
                <w:sz w:val="21"/>
                <w:szCs w:val="21"/>
                <w:highlight w:val="none"/>
                <w:u w:val="none"/>
                <w:lang w:val="en-US" w:eastAsia="zh-CN" w:bidi="ar-SA"/>
              </w:rPr>
              <w:t>高</w:t>
            </w:r>
            <w:r>
              <w:rPr>
                <w:rFonts w:hint="default" w:ascii="仿宋_GB2312" w:hAnsi="仿宋_GB2312" w:eastAsia="仿宋_GB2312" w:cs="仿宋_GB2312"/>
                <w:i w:val="0"/>
                <w:iCs w:val="0"/>
                <w:color w:val="000000"/>
                <w:kern w:val="2"/>
                <w:sz w:val="21"/>
                <w:szCs w:val="21"/>
                <w:highlight w:val="none"/>
                <w:u w:val="none"/>
                <w:lang w:val="en-US" w:eastAsia="zh-CN" w:bidi="ar-SA"/>
              </w:rPr>
              <w:t>97cm</w:t>
            </w:r>
          </w:p>
        </w:tc>
        <w:tc>
          <w:tcPr>
            <w:tcW w:w="669" w:type="dxa"/>
            <w:noWrap w:val="0"/>
            <w:vAlign w:val="center"/>
          </w:tcPr>
          <w:p w14:paraId="0CF7D66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2"/>
                <w:sz w:val="21"/>
                <w:szCs w:val="21"/>
                <w:highlight w:val="none"/>
                <w:u w:val="none"/>
                <w:lang w:val="en-US" w:eastAsia="zh-CN" w:bidi="ar-SA"/>
              </w:rPr>
              <w:t>1个</w:t>
            </w:r>
          </w:p>
        </w:tc>
        <w:tc>
          <w:tcPr>
            <w:tcW w:w="1322" w:type="dxa"/>
            <w:noWrap w:val="0"/>
            <w:vAlign w:val="center"/>
          </w:tcPr>
          <w:p w14:paraId="7B2E4D3E">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kern w:val="2"/>
                <w:sz w:val="21"/>
                <w:szCs w:val="21"/>
                <w:highlight w:val="none"/>
                <w:vertAlign w:val="baseline"/>
                <w:lang w:val="en-US" w:eastAsia="zh-CN" w:bidi="ar-SA"/>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58E735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061" w:type="dxa"/>
            <w:gridSpan w:val="5"/>
            <w:noWrap w:val="0"/>
            <w:vAlign w:val="center"/>
          </w:tcPr>
          <w:p w14:paraId="737CFCAF">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both"/>
              <w:textAlignment w:val="baseline"/>
              <w:rPr>
                <w:rFonts w:hint="eastAsia" w:ascii="仿宋_GB2312" w:hAnsi="仿宋_GB2312" w:eastAsia="仿宋_GB2312" w:cs="仿宋_GB2312"/>
                <w:color w:val="auto"/>
                <w:sz w:val="21"/>
                <w:szCs w:val="21"/>
                <w:highlight w:val="none"/>
                <w:vertAlign w:val="baseline"/>
                <w:lang w:val="en-US" w:eastAsia="zh-CN"/>
              </w:rPr>
            </w:pPr>
            <w:r>
              <w:rPr>
                <w:rFonts w:hint="eastAsia" w:ascii="CESI楷体-GB2312" w:hAnsi="CESI楷体-GB2312" w:eastAsia="CESI楷体-GB2312" w:cs="CESI楷体-GB2312"/>
                <w:color w:val="auto"/>
                <w:sz w:val="21"/>
                <w:szCs w:val="21"/>
                <w:highlight w:val="none"/>
                <w:vertAlign w:val="baseline"/>
                <w:lang w:val="en-US" w:eastAsia="zh-CN"/>
              </w:rPr>
              <w:t>四、花圈</w:t>
            </w:r>
          </w:p>
        </w:tc>
      </w:tr>
      <w:tr w14:paraId="4181A94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noWrap w:val="0"/>
            <w:vAlign w:val="center"/>
          </w:tcPr>
          <w:p w14:paraId="3C632A4A">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noWrap w:val="0"/>
            <w:vAlign w:val="center"/>
          </w:tcPr>
          <w:p w14:paraId="38D73E14">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0"/>
                <w:sz w:val="21"/>
                <w:szCs w:val="21"/>
                <w:highlight w:val="none"/>
                <w:u w:val="none"/>
                <w:lang w:val="en-US" w:eastAsia="zh-CN" w:bidi="ar"/>
              </w:rPr>
              <w:t>普通大号花圈</w:t>
            </w:r>
          </w:p>
        </w:tc>
        <w:tc>
          <w:tcPr>
            <w:tcW w:w="5111" w:type="dxa"/>
            <w:noWrap w:val="0"/>
            <w:vAlign w:val="center"/>
          </w:tcPr>
          <w:p w14:paraId="33DA210D">
            <w:pPr>
              <w:keepNext w:val="0"/>
              <w:keepLines w:val="0"/>
              <w:widowControl/>
              <w:suppressLineNumbers w:val="0"/>
              <w:jc w:val="left"/>
              <w:textAlignment w:val="center"/>
              <w:rPr>
                <w:rFonts w:hint="eastAsia" w:ascii="仿宋_GB2312" w:hAnsi="仿宋_GB2312" w:eastAsia="仿宋_GB2312" w:cs="仿宋_GB2312"/>
                <w:kern w:val="2"/>
                <w:sz w:val="21"/>
                <w:szCs w:val="21"/>
                <w:highlight w:val="none"/>
                <w:lang w:val="en-US" w:eastAsia="zh-CN" w:bidi="ar-SA"/>
              </w:rPr>
            </w:pPr>
            <w:r>
              <w:rPr>
                <w:rStyle w:val="10"/>
                <w:rFonts w:hint="eastAsia" w:ascii="仿宋_GB2312" w:hAnsi="仿宋_GB2312" w:eastAsia="仿宋_GB2312" w:cs="仿宋_GB2312"/>
                <w:sz w:val="21"/>
                <w:szCs w:val="21"/>
                <w:highlight w:val="none"/>
                <w:lang w:val="en-US" w:eastAsia="zh-CN" w:bidi="ar"/>
              </w:rPr>
              <w:t>彩色绢花。</w:t>
            </w:r>
          </w:p>
        </w:tc>
        <w:tc>
          <w:tcPr>
            <w:tcW w:w="669" w:type="dxa"/>
            <w:noWrap w:val="0"/>
            <w:vAlign w:val="top"/>
          </w:tcPr>
          <w:p w14:paraId="3FB307D2">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2"/>
                <w:sz w:val="21"/>
                <w:szCs w:val="21"/>
                <w:highlight w:val="none"/>
                <w:u w:val="none"/>
                <w:lang w:val="en-US" w:eastAsia="zh-CN" w:bidi="ar-SA"/>
              </w:rPr>
              <w:t>1个</w:t>
            </w:r>
          </w:p>
        </w:tc>
        <w:tc>
          <w:tcPr>
            <w:tcW w:w="1322" w:type="dxa"/>
            <w:noWrap w:val="0"/>
            <w:vAlign w:val="center"/>
          </w:tcPr>
          <w:p w14:paraId="49A04865">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kern w:val="2"/>
                <w:sz w:val="21"/>
                <w:szCs w:val="21"/>
                <w:highlight w:val="none"/>
                <w:vertAlign w:val="baseline"/>
                <w:lang w:val="en-US" w:eastAsia="zh-CN" w:bidi="ar-SA"/>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5C8B72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noWrap w:val="0"/>
            <w:vAlign w:val="center"/>
          </w:tcPr>
          <w:p w14:paraId="6445A86D">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noWrap w:val="0"/>
            <w:vAlign w:val="center"/>
          </w:tcPr>
          <w:p w14:paraId="2E92B0A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普通大号花圈</w:t>
            </w:r>
          </w:p>
        </w:tc>
        <w:tc>
          <w:tcPr>
            <w:tcW w:w="5111" w:type="dxa"/>
            <w:noWrap w:val="0"/>
            <w:vAlign w:val="center"/>
          </w:tcPr>
          <w:p w14:paraId="0A4FDAD4">
            <w:pPr>
              <w:keepNext w:val="0"/>
              <w:keepLines w:val="0"/>
              <w:widowControl/>
              <w:suppressLineNumbers w:val="0"/>
              <w:jc w:val="left"/>
              <w:textAlignment w:val="center"/>
              <w:rPr>
                <w:rFonts w:hint="eastAsia" w:ascii="仿宋_GB2312" w:hAnsi="仿宋_GB2312" w:eastAsia="仿宋_GB2312" w:cs="仿宋_GB2312"/>
                <w:kern w:val="2"/>
                <w:sz w:val="21"/>
                <w:szCs w:val="21"/>
                <w:highlight w:val="none"/>
                <w:lang w:val="en-US" w:eastAsia="zh-CN" w:bidi="ar-SA"/>
              </w:rPr>
            </w:pPr>
            <w:r>
              <w:rPr>
                <w:rStyle w:val="10"/>
                <w:rFonts w:hint="eastAsia" w:ascii="仿宋_GB2312" w:hAnsi="仿宋_GB2312" w:eastAsia="仿宋_GB2312" w:cs="仿宋_GB2312"/>
                <w:sz w:val="21"/>
                <w:szCs w:val="21"/>
                <w:highlight w:val="none"/>
                <w:lang w:val="en-US" w:eastAsia="zh-CN" w:bidi="ar"/>
              </w:rPr>
              <w:t>黑白绢花。</w:t>
            </w:r>
          </w:p>
        </w:tc>
        <w:tc>
          <w:tcPr>
            <w:tcW w:w="669" w:type="dxa"/>
            <w:noWrap w:val="0"/>
            <w:vAlign w:val="top"/>
          </w:tcPr>
          <w:p w14:paraId="175DBEBB">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2"/>
                <w:sz w:val="21"/>
                <w:szCs w:val="21"/>
                <w:highlight w:val="none"/>
                <w:u w:val="none"/>
                <w:lang w:val="en-US" w:eastAsia="zh-CN" w:bidi="ar-SA"/>
              </w:rPr>
              <w:t>1个</w:t>
            </w:r>
          </w:p>
        </w:tc>
        <w:tc>
          <w:tcPr>
            <w:tcW w:w="1322" w:type="dxa"/>
            <w:noWrap w:val="0"/>
            <w:vAlign w:val="center"/>
          </w:tcPr>
          <w:p w14:paraId="71E4584D">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kern w:val="2"/>
                <w:sz w:val="21"/>
                <w:szCs w:val="21"/>
                <w:highlight w:val="none"/>
                <w:vertAlign w:val="baseline"/>
                <w:lang w:val="en-US" w:eastAsia="zh-CN" w:bidi="ar-SA"/>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4A5FA8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noWrap w:val="0"/>
            <w:vAlign w:val="center"/>
          </w:tcPr>
          <w:p w14:paraId="6D00F848">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noWrap w:val="0"/>
            <w:vAlign w:val="center"/>
          </w:tcPr>
          <w:p w14:paraId="2E814CA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普通中号花圈</w:t>
            </w:r>
          </w:p>
        </w:tc>
        <w:tc>
          <w:tcPr>
            <w:tcW w:w="5111" w:type="dxa"/>
            <w:noWrap w:val="0"/>
            <w:vAlign w:val="center"/>
          </w:tcPr>
          <w:p w14:paraId="61273138">
            <w:pPr>
              <w:keepNext w:val="0"/>
              <w:keepLines w:val="0"/>
              <w:widowControl/>
              <w:suppressLineNumbers w:val="0"/>
              <w:jc w:val="left"/>
              <w:textAlignment w:val="center"/>
              <w:rPr>
                <w:rFonts w:hint="eastAsia" w:ascii="仿宋_GB2312" w:hAnsi="仿宋_GB2312" w:eastAsia="仿宋_GB2312" w:cs="仿宋_GB2312"/>
                <w:kern w:val="2"/>
                <w:sz w:val="21"/>
                <w:szCs w:val="21"/>
                <w:highlight w:val="none"/>
                <w:lang w:val="en-US" w:eastAsia="zh-CN" w:bidi="ar-SA"/>
              </w:rPr>
            </w:pPr>
            <w:r>
              <w:rPr>
                <w:rStyle w:val="10"/>
                <w:rFonts w:hint="eastAsia" w:ascii="仿宋_GB2312" w:hAnsi="仿宋_GB2312" w:eastAsia="仿宋_GB2312" w:cs="仿宋_GB2312"/>
                <w:sz w:val="21"/>
                <w:szCs w:val="21"/>
                <w:highlight w:val="none"/>
                <w:lang w:val="en-US" w:eastAsia="zh-CN" w:bidi="ar"/>
              </w:rPr>
              <w:t>彩色绢花。</w:t>
            </w:r>
          </w:p>
        </w:tc>
        <w:tc>
          <w:tcPr>
            <w:tcW w:w="669" w:type="dxa"/>
            <w:noWrap w:val="0"/>
            <w:vAlign w:val="top"/>
          </w:tcPr>
          <w:p w14:paraId="10ED685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2"/>
                <w:sz w:val="21"/>
                <w:szCs w:val="21"/>
                <w:highlight w:val="none"/>
                <w:u w:val="none"/>
                <w:lang w:val="en-US" w:eastAsia="zh-CN" w:bidi="ar-SA"/>
              </w:rPr>
              <w:t>1个</w:t>
            </w:r>
          </w:p>
        </w:tc>
        <w:tc>
          <w:tcPr>
            <w:tcW w:w="1322" w:type="dxa"/>
            <w:noWrap w:val="0"/>
            <w:vAlign w:val="center"/>
          </w:tcPr>
          <w:p w14:paraId="57463537">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kern w:val="2"/>
                <w:sz w:val="21"/>
                <w:szCs w:val="21"/>
                <w:highlight w:val="none"/>
                <w:vertAlign w:val="baseline"/>
                <w:lang w:val="en-US" w:eastAsia="zh-CN" w:bidi="ar-SA"/>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5676CC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noWrap w:val="0"/>
            <w:vAlign w:val="center"/>
          </w:tcPr>
          <w:p w14:paraId="330A5CD8">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noWrap w:val="0"/>
            <w:vAlign w:val="center"/>
          </w:tcPr>
          <w:p w14:paraId="7BB8569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普通中号花圈</w:t>
            </w:r>
          </w:p>
        </w:tc>
        <w:tc>
          <w:tcPr>
            <w:tcW w:w="5111" w:type="dxa"/>
            <w:noWrap w:val="0"/>
            <w:vAlign w:val="center"/>
          </w:tcPr>
          <w:p w14:paraId="25036CB0">
            <w:pPr>
              <w:keepNext w:val="0"/>
              <w:keepLines w:val="0"/>
              <w:widowControl/>
              <w:suppressLineNumbers w:val="0"/>
              <w:jc w:val="left"/>
              <w:textAlignment w:val="center"/>
              <w:rPr>
                <w:rFonts w:hint="eastAsia" w:ascii="仿宋_GB2312" w:hAnsi="仿宋_GB2312" w:eastAsia="仿宋_GB2312" w:cs="仿宋_GB2312"/>
                <w:kern w:val="2"/>
                <w:sz w:val="21"/>
                <w:szCs w:val="21"/>
                <w:highlight w:val="none"/>
                <w:lang w:val="en-US" w:eastAsia="zh-CN" w:bidi="ar-SA"/>
              </w:rPr>
            </w:pPr>
            <w:r>
              <w:rPr>
                <w:rStyle w:val="10"/>
                <w:rFonts w:hint="eastAsia" w:ascii="仿宋_GB2312" w:hAnsi="仿宋_GB2312" w:eastAsia="仿宋_GB2312" w:cs="仿宋_GB2312"/>
                <w:sz w:val="21"/>
                <w:szCs w:val="21"/>
                <w:highlight w:val="none"/>
                <w:lang w:val="en-US" w:eastAsia="zh-CN" w:bidi="ar"/>
              </w:rPr>
              <w:t>黑白绢花。</w:t>
            </w:r>
          </w:p>
        </w:tc>
        <w:tc>
          <w:tcPr>
            <w:tcW w:w="669" w:type="dxa"/>
            <w:noWrap w:val="0"/>
            <w:vAlign w:val="top"/>
          </w:tcPr>
          <w:p w14:paraId="77F62F0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2"/>
                <w:sz w:val="21"/>
                <w:szCs w:val="21"/>
                <w:highlight w:val="none"/>
                <w:u w:val="none"/>
                <w:lang w:val="en-US" w:eastAsia="zh-CN" w:bidi="ar-SA"/>
              </w:rPr>
              <w:t>1个</w:t>
            </w:r>
          </w:p>
        </w:tc>
        <w:tc>
          <w:tcPr>
            <w:tcW w:w="1322" w:type="dxa"/>
            <w:noWrap w:val="0"/>
            <w:vAlign w:val="center"/>
          </w:tcPr>
          <w:p w14:paraId="3822FFBA">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kern w:val="2"/>
                <w:sz w:val="21"/>
                <w:szCs w:val="21"/>
                <w:highlight w:val="none"/>
                <w:vertAlign w:val="baseline"/>
                <w:lang w:val="en-US" w:eastAsia="zh-CN" w:bidi="ar-SA"/>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6F6C59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noWrap w:val="0"/>
            <w:vAlign w:val="center"/>
          </w:tcPr>
          <w:p w14:paraId="3FD03DE0">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noWrap w:val="0"/>
            <w:vAlign w:val="center"/>
          </w:tcPr>
          <w:p w14:paraId="4D7518E1">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普通小号花圈</w:t>
            </w:r>
          </w:p>
        </w:tc>
        <w:tc>
          <w:tcPr>
            <w:tcW w:w="5111" w:type="dxa"/>
            <w:noWrap w:val="0"/>
            <w:vAlign w:val="center"/>
          </w:tcPr>
          <w:p w14:paraId="08BC1E73">
            <w:pPr>
              <w:keepNext w:val="0"/>
              <w:keepLines w:val="0"/>
              <w:widowControl/>
              <w:suppressLineNumbers w:val="0"/>
              <w:jc w:val="left"/>
              <w:textAlignment w:val="center"/>
              <w:rPr>
                <w:rFonts w:hint="eastAsia" w:ascii="仿宋_GB2312" w:hAnsi="仿宋_GB2312" w:eastAsia="仿宋_GB2312" w:cs="仿宋_GB2312"/>
                <w:kern w:val="2"/>
                <w:sz w:val="21"/>
                <w:szCs w:val="21"/>
                <w:highlight w:val="none"/>
                <w:lang w:val="en-US" w:eastAsia="zh-CN" w:bidi="ar-SA"/>
              </w:rPr>
            </w:pPr>
            <w:r>
              <w:rPr>
                <w:rStyle w:val="10"/>
                <w:rFonts w:hint="eastAsia" w:ascii="仿宋_GB2312" w:hAnsi="仿宋_GB2312" w:eastAsia="仿宋_GB2312" w:cs="仿宋_GB2312"/>
                <w:sz w:val="21"/>
                <w:szCs w:val="21"/>
                <w:highlight w:val="none"/>
                <w:lang w:val="en-US" w:eastAsia="zh-CN" w:bidi="ar"/>
              </w:rPr>
              <w:t>彩色绢花。</w:t>
            </w:r>
          </w:p>
        </w:tc>
        <w:tc>
          <w:tcPr>
            <w:tcW w:w="669" w:type="dxa"/>
            <w:noWrap w:val="0"/>
            <w:vAlign w:val="top"/>
          </w:tcPr>
          <w:p w14:paraId="27F246D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2"/>
                <w:sz w:val="21"/>
                <w:szCs w:val="21"/>
                <w:highlight w:val="none"/>
                <w:u w:val="none"/>
                <w:lang w:val="en-US" w:eastAsia="zh-CN" w:bidi="ar-SA"/>
              </w:rPr>
              <w:t>1个</w:t>
            </w:r>
          </w:p>
        </w:tc>
        <w:tc>
          <w:tcPr>
            <w:tcW w:w="1322" w:type="dxa"/>
            <w:noWrap w:val="0"/>
            <w:vAlign w:val="center"/>
          </w:tcPr>
          <w:p w14:paraId="3634B0E3">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kern w:val="2"/>
                <w:sz w:val="21"/>
                <w:szCs w:val="21"/>
                <w:highlight w:val="none"/>
                <w:vertAlign w:val="baseline"/>
                <w:lang w:val="en-US" w:eastAsia="zh-CN" w:bidi="ar-SA"/>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61DF77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noWrap w:val="0"/>
            <w:vAlign w:val="center"/>
          </w:tcPr>
          <w:p w14:paraId="1EECD729">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noWrap w:val="0"/>
            <w:vAlign w:val="center"/>
          </w:tcPr>
          <w:p w14:paraId="071C6F17">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普通小号花圈</w:t>
            </w:r>
          </w:p>
        </w:tc>
        <w:tc>
          <w:tcPr>
            <w:tcW w:w="5111" w:type="dxa"/>
            <w:noWrap w:val="0"/>
            <w:vAlign w:val="center"/>
          </w:tcPr>
          <w:p w14:paraId="311E10F8">
            <w:pPr>
              <w:keepNext w:val="0"/>
              <w:keepLines w:val="0"/>
              <w:widowControl/>
              <w:suppressLineNumbers w:val="0"/>
              <w:jc w:val="left"/>
              <w:textAlignment w:val="center"/>
              <w:rPr>
                <w:rFonts w:hint="eastAsia" w:ascii="仿宋_GB2312" w:hAnsi="仿宋_GB2312" w:eastAsia="仿宋_GB2312" w:cs="仿宋_GB2312"/>
                <w:kern w:val="2"/>
                <w:sz w:val="21"/>
                <w:szCs w:val="21"/>
                <w:highlight w:val="none"/>
                <w:lang w:val="en-US" w:eastAsia="zh-CN" w:bidi="ar-SA"/>
              </w:rPr>
            </w:pPr>
            <w:r>
              <w:rPr>
                <w:rStyle w:val="10"/>
                <w:rFonts w:hint="eastAsia" w:ascii="仿宋_GB2312" w:hAnsi="仿宋_GB2312" w:eastAsia="仿宋_GB2312" w:cs="仿宋_GB2312"/>
                <w:sz w:val="21"/>
                <w:szCs w:val="21"/>
                <w:highlight w:val="none"/>
                <w:lang w:val="en-US" w:eastAsia="zh-CN" w:bidi="ar"/>
              </w:rPr>
              <w:t>黑白绢花。</w:t>
            </w:r>
          </w:p>
        </w:tc>
        <w:tc>
          <w:tcPr>
            <w:tcW w:w="669" w:type="dxa"/>
            <w:noWrap w:val="0"/>
            <w:vAlign w:val="top"/>
          </w:tcPr>
          <w:p w14:paraId="74E82B3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2"/>
                <w:sz w:val="21"/>
                <w:szCs w:val="21"/>
                <w:highlight w:val="none"/>
                <w:u w:val="none"/>
                <w:lang w:val="en-US" w:eastAsia="zh-CN" w:bidi="ar-SA"/>
              </w:rPr>
              <w:t>1个</w:t>
            </w:r>
          </w:p>
        </w:tc>
        <w:tc>
          <w:tcPr>
            <w:tcW w:w="1322" w:type="dxa"/>
            <w:noWrap w:val="0"/>
            <w:vAlign w:val="center"/>
          </w:tcPr>
          <w:p w14:paraId="3B73D3A6">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kern w:val="2"/>
                <w:sz w:val="21"/>
                <w:szCs w:val="21"/>
                <w:highlight w:val="none"/>
                <w:vertAlign w:val="baseline"/>
                <w:lang w:val="en-US" w:eastAsia="zh-CN" w:bidi="ar-SA"/>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1B5E25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061" w:type="dxa"/>
            <w:gridSpan w:val="5"/>
            <w:noWrap w:val="0"/>
            <w:vAlign w:val="top"/>
          </w:tcPr>
          <w:p w14:paraId="414A2417">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both"/>
              <w:textAlignment w:val="baseline"/>
              <w:rPr>
                <w:rFonts w:hint="eastAsia" w:ascii="仿宋_GB2312" w:hAnsi="仿宋_GB2312" w:eastAsia="仿宋_GB2312" w:cs="仿宋_GB2312"/>
                <w:color w:val="auto"/>
                <w:sz w:val="21"/>
                <w:szCs w:val="21"/>
                <w:highlight w:val="none"/>
                <w:vertAlign w:val="baseline"/>
                <w:lang w:val="en-US" w:eastAsia="zh-CN"/>
              </w:rPr>
            </w:pPr>
            <w:r>
              <w:rPr>
                <w:rFonts w:hint="eastAsia" w:ascii="CESI楷体-GB2312" w:hAnsi="CESI楷体-GB2312" w:eastAsia="CESI楷体-GB2312" w:cs="CESI楷体-GB2312"/>
                <w:color w:val="auto"/>
                <w:sz w:val="21"/>
                <w:szCs w:val="21"/>
                <w:highlight w:val="none"/>
                <w:vertAlign w:val="baseline"/>
                <w:lang w:val="en-US" w:eastAsia="zh-CN"/>
              </w:rPr>
              <w:t>五、元宝</w:t>
            </w:r>
          </w:p>
        </w:tc>
      </w:tr>
      <w:tr w14:paraId="4810B0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noWrap w:val="0"/>
            <w:vAlign w:val="top"/>
          </w:tcPr>
          <w:p w14:paraId="79595754">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noWrap w:val="0"/>
            <w:vAlign w:val="top"/>
          </w:tcPr>
          <w:p w14:paraId="7CF269D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特大号元宝</w:t>
            </w:r>
          </w:p>
        </w:tc>
        <w:tc>
          <w:tcPr>
            <w:tcW w:w="5111" w:type="dxa"/>
            <w:noWrap w:val="0"/>
            <w:vAlign w:val="top"/>
          </w:tcPr>
          <w:p w14:paraId="140F72B8">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每袋约450个。</w:t>
            </w:r>
          </w:p>
        </w:tc>
        <w:tc>
          <w:tcPr>
            <w:tcW w:w="669" w:type="dxa"/>
            <w:noWrap w:val="0"/>
            <w:vAlign w:val="top"/>
          </w:tcPr>
          <w:p w14:paraId="15D0F3C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1袋</w:t>
            </w:r>
          </w:p>
        </w:tc>
        <w:tc>
          <w:tcPr>
            <w:tcW w:w="1322" w:type="dxa"/>
            <w:noWrap w:val="0"/>
            <w:vAlign w:val="center"/>
          </w:tcPr>
          <w:p w14:paraId="0D5ED4DA">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kern w:val="2"/>
                <w:sz w:val="21"/>
                <w:szCs w:val="21"/>
                <w:highlight w:val="none"/>
                <w:vertAlign w:val="baseline"/>
                <w:lang w:val="en-US" w:eastAsia="zh-CN" w:bidi="ar-SA"/>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311E20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noWrap w:val="0"/>
            <w:vAlign w:val="top"/>
          </w:tcPr>
          <w:p w14:paraId="3FC82CDC">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noWrap w:val="0"/>
            <w:vAlign w:val="top"/>
          </w:tcPr>
          <w:p w14:paraId="670586A0">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大号元宝</w:t>
            </w:r>
          </w:p>
        </w:tc>
        <w:tc>
          <w:tcPr>
            <w:tcW w:w="5111" w:type="dxa"/>
            <w:noWrap w:val="0"/>
            <w:vAlign w:val="top"/>
          </w:tcPr>
          <w:p w14:paraId="7138DAB6">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每袋约200个。</w:t>
            </w:r>
          </w:p>
        </w:tc>
        <w:tc>
          <w:tcPr>
            <w:tcW w:w="669" w:type="dxa"/>
            <w:noWrap w:val="0"/>
            <w:vAlign w:val="top"/>
          </w:tcPr>
          <w:p w14:paraId="3BC9F7D4">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1袋</w:t>
            </w:r>
          </w:p>
        </w:tc>
        <w:tc>
          <w:tcPr>
            <w:tcW w:w="1322" w:type="dxa"/>
            <w:noWrap w:val="0"/>
            <w:vAlign w:val="center"/>
          </w:tcPr>
          <w:p w14:paraId="37BB2E58">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kern w:val="2"/>
                <w:sz w:val="21"/>
                <w:szCs w:val="21"/>
                <w:highlight w:val="none"/>
                <w:vertAlign w:val="baseline"/>
                <w:lang w:val="en-US" w:eastAsia="zh-CN" w:bidi="ar-SA"/>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3C47D3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061" w:type="dxa"/>
            <w:gridSpan w:val="5"/>
            <w:noWrap w:val="0"/>
            <w:vAlign w:val="top"/>
          </w:tcPr>
          <w:p w14:paraId="3D2EA312">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both"/>
              <w:textAlignment w:val="baseline"/>
              <w:rPr>
                <w:rFonts w:hint="eastAsia" w:ascii="仿宋_GB2312" w:hAnsi="仿宋_GB2312" w:eastAsia="仿宋_GB2312" w:cs="仿宋_GB2312"/>
                <w:color w:val="auto"/>
                <w:sz w:val="21"/>
                <w:szCs w:val="21"/>
                <w:highlight w:val="none"/>
                <w:vertAlign w:val="baseline"/>
                <w:lang w:val="en-US" w:eastAsia="zh-CN"/>
              </w:rPr>
            </w:pPr>
            <w:r>
              <w:rPr>
                <w:rFonts w:hint="eastAsia" w:ascii="CESI楷体-GB2312" w:hAnsi="CESI楷体-GB2312" w:eastAsia="CESI楷体-GB2312" w:cs="CESI楷体-GB2312"/>
                <w:color w:val="auto"/>
                <w:sz w:val="21"/>
                <w:szCs w:val="21"/>
                <w:highlight w:val="none"/>
                <w:vertAlign w:val="baseline"/>
                <w:lang w:val="en-US" w:eastAsia="zh-CN"/>
              </w:rPr>
              <w:t>六、七关灯</w:t>
            </w:r>
          </w:p>
        </w:tc>
      </w:tr>
      <w:tr w14:paraId="65047D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noWrap w:val="0"/>
            <w:vAlign w:val="top"/>
          </w:tcPr>
          <w:p w14:paraId="773B39CC">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noWrap w:val="0"/>
            <w:vAlign w:val="top"/>
          </w:tcPr>
          <w:p w14:paraId="469032D3">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七关灯</w:t>
            </w:r>
          </w:p>
        </w:tc>
        <w:tc>
          <w:tcPr>
            <w:tcW w:w="5111" w:type="dxa"/>
            <w:noWrap w:val="0"/>
            <w:vAlign w:val="top"/>
          </w:tcPr>
          <w:p w14:paraId="4907370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高2.35m的七关灯，直径20cm。</w:t>
            </w:r>
          </w:p>
        </w:tc>
        <w:tc>
          <w:tcPr>
            <w:tcW w:w="669" w:type="dxa"/>
            <w:noWrap w:val="0"/>
            <w:vAlign w:val="top"/>
          </w:tcPr>
          <w:p w14:paraId="23EDCD0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default" w:ascii="宋体" w:hAnsi="宋体" w:eastAsia="宋体" w:cs="宋体"/>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2"/>
                <w:sz w:val="21"/>
                <w:szCs w:val="21"/>
                <w:highlight w:val="none"/>
                <w:u w:val="none"/>
                <w:lang w:val="en-US" w:eastAsia="zh-CN" w:bidi="ar-SA"/>
              </w:rPr>
              <w:t>1套</w:t>
            </w:r>
          </w:p>
        </w:tc>
        <w:tc>
          <w:tcPr>
            <w:tcW w:w="1322" w:type="dxa"/>
            <w:noWrap w:val="0"/>
            <w:vAlign w:val="center"/>
          </w:tcPr>
          <w:p w14:paraId="6E7E0A43">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kern w:val="2"/>
                <w:sz w:val="21"/>
                <w:szCs w:val="21"/>
                <w:highlight w:val="none"/>
                <w:vertAlign w:val="baseline"/>
                <w:lang w:val="en-US" w:eastAsia="zh-CN" w:bidi="ar-SA"/>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625FC81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061" w:type="dxa"/>
            <w:gridSpan w:val="5"/>
            <w:noWrap w:val="0"/>
            <w:vAlign w:val="top"/>
          </w:tcPr>
          <w:p w14:paraId="13B172DC">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both"/>
              <w:textAlignment w:val="baseline"/>
              <w:rPr>
                <w:rFonts w:hint="eastAsia" w:ascii="仿宋_GB2312" w:hAnsi="仿宋_GB2312" w:eastAsia="仿宋_GB2312" w:cs="仿宋_GB2312"/>
                <w:color w:val="auto"/>
                <w:sz w:val="21"/>
                <w:szCs w:val="21"/>
                <w:highlight w:val="none"/>
                <w:vertAlign w:val="baseline"/>
                <w:lang w:val="en-US" w:eastAsia="zh-CN"/>
              </w:rPr>
            </w:pPr>
            <w:r>
              <w:rPr>
                <w:rFonts w:hint="eastAsia" w:ascii="CESI楷体-GB2312" w:hAnsi="CESI楷体-GB2312" w:eastAsia="CESI楷体-GB2312" w:cs="CESI楷体-GB2312"/>
                <w:color w:val="auto"/>
                <w:sz w:val="21"/>
                <w:szCs w:val="21"/>
                <w:highlight w:val="none"/>
                <w:vertAlign w:val="baseline"/>
                <w:lang w:val="en-US" w:eastAsia="zh-CN"/>
              </w:rPr>
              <w:t>七、灵头幡</w:t>
            </w:r>
          </w:p>
        </w:tc>
      </w:tr>
      <w:tr w14:paraId="584726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noWrap w:val="0"/>
            <w:vAlign w:val="center"/>
          </w:tcPr>
          <w:p w14:paraId="2608AC14">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noWrap w:val="0"/>
            <w:vAlign w:val="center"/>
          </w:tcPr>
          <w:p w14:paraId="50D00DED">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灵头幡</w:t>
            </w:r>
          </w:p>
        </w:tc>
        <w:tc>
          <w:tcPr>
            <w:tcW w:w="5111" w:type="dxa"/>
            <w:noWrap w:val="0"/>
            <w:vAlign w:val="center"/>
          </w:tcPr>
          <w:p w14:paraId="3EDD03C9">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（1）尺寸：幡头直径</w:t>
            </w:r>
            <w:r>
              <w:rPr>
                <w:rFonts w:hint="default" w:ascii="仿宋_GB2312" w:hAnsi="仿宋_GB2312" w:eastAsia="仿宋_GB2312" w:cs="仿宋_GB2312"/>
                <w:i w:val="0"/>
                <w:iCs w:val="0"/>
                <w:color w:val="000000"/>
                <w:kern w:val="0"/>
                <w:sz w:val="21"/>
                <w:szCs w:val="21"/>
                <w:highlight w:val="none"/>
                <w:u w:val="none"/>
                <w:lang w:val="en-US" w:eastAsia="zh-CN" w:bidi="ar"/>
              </w:rPr>
              <w:t>40cm,</w:t>
            </w:r>
            <w:r>
              <w:rPr>
                <w:rFonts w:hint="eastAsia" w:ascii="仿宋_GB2312" w:hAnsi="仿宋_GB2312" w:eastAsia="仿宋_GB2312" w:cs="仿宋_GB2312"/>
                <w:i w:val="0"/>
                <w:iCs w:val="0"/>
                <w:color w:val="000000"/>
                <w:kern w:val="0"/>
                <w:sz w:val="21"/>
                <w:szCs w:val="21"/>
                <w:highlight w:val="none"/>
                <w:u w:val="none"/>
                <w:lang w:val="en-US" w:eastAsia="zh-CN" w:bidi="ar"/>
              </w:rPr>
              <w:t>幡身长</w:t>
            </w:r>
            <w:r>
              <w:rPr>
                <w:rFonts w:hint="default" w:ascii="仿宋_GB2312" w:hAnsi="仿宋_GB2312" w:eastAsia="仿宋_GB2312" w:cs="仿宋_GB2312"/>
                <w:i w:val="0"/>
                <w:iCs w:val="0"/>
                <w:color w:val="000000"/>
                <w:kern w:val="0"/>
                <w:sz w:val="21"/>
                <w:szCs w:val="21"/>
                <w:highlight w:val="none"/>
                <w:u w:val="none"/>
                <w:lang w:val="en-US" w:eastAsia="zh-CN" w:bidi="ar"/>
              </w:rPr>
              <w:t>100cm,</w:t>
            </w:r>
            <w:r>
              <w:rPr>
                <w:rFonts w:hint="eastAsia" w:ascii="仿宋_GB2312" w:hAnsi="仿宋_GB2312" w:eastAsia="仿宋_GB2312" w:cs="仿宋_GB2312"/>
                <w:i w:val="0"/>
                <w:iCs w:val="0"/>
                <w:color w:val="000000"/>
                <w:kern w:val="0"/>
                <w:sz w:val="21"/>
                <w:szCs w:val="21"/>
                <w:highlight w:val="none"/>
                <w:u w:val="none"/>
                <w:lang w:val="en-US" w:eastAsia="zh-CN" w:bidi="ar"/>
              </w:rPr>
              <w:t>龙头（凤头）宽</w:t>
            </w:r>
            <w:r>
              <w:rPr>
                <w:rFonts w:hint="default" w:ascii="仿宋_GB2312" w:hAnsi="仿宋_GB2312" w:eastAsia="仿宋_GB2312" w:cs="仿宋_GB2312"/>
                <w:i w:val="0"/>
                <w:iCs w:val="0"/>
                <w:color w:val="000000"/>
                <w:kern w:val="0"/>
                <w:sz w:val="21"/>
                <w:szCs w:val="21"/>
                <w:highlight w:val="none"/>
                <w:u w:val="none"/>
                <w:lang w:val="en-US" w:eastAsia="zh-CN" w:bidi="ar"/>
              </w:rPr>
              <w:t>15cm</w:t>
            </w:r>
            <w:r>
              <w:rPr>
                <w:rFonts w:hint="eastAsia" w:ascii="仿宋_GB2312" w:hAnsi="仿宋_GB2312" w:eastAsia="仿宋_GB2312" w:cs="仿宋_GB2312"/>
                <w:i w:val="0"/>
                <w:iCs w:val="0"/>
                <w:color w:val="000000"/>
                <w:kern w:val="0"/>
                <w:sz w:val="21"/>
                <w:szCs w:val="21"/>
                <w:highlight w:val="none"/>
                <w:u w:val="none"/>
                <w:lang w:val="en-US" w:eastAsia="zh-CN" w:bidi="ar"/>
              </w:rPr>
              <w:t>，长</w:t>
            </w:r>
            <w:r>
              <w:rPr>
                <w:rFonts w:hint="default" w:ascii="仿宋_GB2312" w:hAnsi="仿宋_GB2312" w:eastAsia="仿宋_GB2312" w:cs="仿宋_GB2312"/>
                <w:i w:val="0"/>
                <w:iCs w:val="0"/>
                <w:color w:val="000000"/>
                <w:kern w:val="0"/>
                <w:sz w:val="21"/>
                <w:szCs w:val="21"/>
                <w:highlight w:val="none"/>
                <w:u w:val="none"/>
                <w:lang w:val="en-US" w:eastAsia="zh-CN" w:bidi="ar"/>
              </w:rPr>
              <w:t>25cm,</w:t>
            </w:r>
            <w:r>
              <w:rPr>
                <w:rFonts w:hint="eastAsia" w:ascii="仿宋_GB2312" w:hAnsi="仿宋_GB2312" w:eastAsia="仿宋_GB2312" w:cs="仿宋_GB2312"/>
                <w:i w:val="0"/>
                <w:iCs w:val="0"/>
                <w:color w:val="000000"/>
                <w:kern w:val="0"/>
                <w:sz w:val="21"/>
                <w:szCs w:val="21"/>
                <w:highlight w:val="none"/>
                <w:u w:val="none"/>
                <w:lang w:val="en-US" w:eastAsia="zh-CN" w:bidi="ar"/>
              </w:rPr>
              <w:t>杆长</w:t>
            </w:r>
            <w:r>
              <w:rPr>
                <w:rFonts w:hint="default" w:ascii="仿宋_GB2312" w:hAnsi="仿宋_GB2312" w:eastAsia="仿宋_GB2312" w:cs="仿宋_GB2312"/>
                <w:i w:val="0"/>
                <w:iCs w:val="0"/>
                <w:color w:val="000000"/>
                <w:kern w:val="0"/>
                <w:sz w:val="21"/>
                <w:szCs w:val="21"/>
                <w:highlight w:val="none"/>
                <w:u w:val="none"/>
                <w:lang w:val="en-US" w:eastAsia="zh-CN" w:bidi="ar"/>
              </w:rPr>
              <w:t>100cm</w:t>
            </w:r>
            <w:r>
              <w:rPr>
                <w:rFonts w:hint="eastAsia" w:ascii="仿宋_GB2312" w:hAnsi="仿宋_GB2312" w:eastAsia="仿宋_GB2312" w:cs="仿宋_GB2312"/>
                <w:i w:val="0"/>
                <w:iCs w:val="0"/>
                <w:color w:val="000000"/>
                <w:kern w:val="0"/>
                <w:sz w:val="21"/>
                <w:szCs w:val="21"/>
                <w:highlight w:val="none"/>
                <w:u w:val="none"/>
                <w:lang w:val="en-US" w:eastAsia="zh-CN" w:bidi="ar"/>
              </w:rPr>
              <w:t>。</w:t>
            </w:r>
          </w:p>
          <w:p w14:paraId="5BB67613">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w:t>
            </w:r>
            <w:r>
              <w:rPr>
                <w:rFonts w:hint="default" w:ascii="仿宋_GB2312" w:hAnsi="仿宋_GB2312" w:eastAsia="仿宋_GB2312" w:cs="仿宋_GB2312"/>
                <w:i w:val="0"/>
                <w:iCs w:val="0"/>
                <w:color w:val="000000"/>
                <w:kern w:val="0"/>
                <w:sz w:val="21"/>
                <w:szCs w:val="21"/>
                <w:highlight w:val="none"/>
                <w:u w:val="none"/>
                <w:lang w:val="en-US" w:eastAsia="zh-CN" w:bidi="ar"/>
              </w:rPr>
              <w:t>2</w:t>
            </w:r>
            <w:r>
              <w:rPr>
                <w:rFonts w:hint="eastAsia" w:ascii="仿宋_GB2312" w:hAnsi="仿宋_GB2312" w:eastAsia="仿宋_GB2312" w:cs="仿宋_GB2312"/>
                <w:i w:val="0"/>
                <w:iCs w:val="0"/>
                <w:color w:val="000000"/>
                <w:kern w:val="0"/>
                <w:sz w:val="21"/>
                <w:szCs w:val="21"/>
                <w:highlight w:val="none"/>
                <w:u w:val="none"/>
                <w:lang w:val="en-US" w:eastAsia="zh-CN" w:bidi="ar"/>
              </w:rPr>
              <w:t>）材质外观：幡身：聚丙烯</w:t>
            </w:r>
            <w:r>
              <w:rPr>
                <w:rFonts w:hint="default" w:ascii="仿宋_GB2312" w:hAnsi="仿宋_GB2312" w:eastAsia="仿宋_GB2312" w:cs="仿宋_GB2312"/>
                <w:i w:val="0"/>
                <w:iCs w:val="0"/>
                <w:color w:val="000000"/>
                <w:kern w:val="0"/>
                <w:sz w:val="21"/>
                <w:szCs w:val="21"/>
                <w:highlight w:val="none"/>
                <w:u w:val="none"/>
                <w:lang w:val="en-US" w:eastAsia="zh-CN" w:bidi="ar"/>
              </w:rPr>
              <w:t>PP</w:t>
            </w:r>
            <w:r>
              <w:rPr>
                <w:rFonts w:hint="eastAsia" w:ascii="仿宋_GB2312" w:hAnsi="仿宋_GB2312" w:eastAsia="仿宋_GB2312" w:cs="仿宋_GB2312"/>
                <w:i w:val="0"/>
                <w:iCs w:val="0"/>
                <w:color w:val="000000"/>
                <w:kern w:val="0"/>
                <w:sz w:val="21"/>
                <w:szCs w:val="21"/>
                <w:highlight w:val="none"/>
                <w:u w:val="none"/>
                <w:lang w:val="en-US" w:eastAsia="zh-CN" w:bidi="ar"/>
              </w:rPr>
              <w:t>，幡芯儿：写真布，幡头：起球松木，幡杆，竹子压塑。</w:t>
            </w:r>
          </w:p>
        </w:tc>
        <w:tc>
          <w:tcPr>
            <w:tcW w:w="669" w:type="dxa"/>
            <w:noWrap w:val="0"/>
            <w:vAlign w:val="center"/>
          </w:tcPr>
          <w:p w14:paraId="6528A3D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2"/>
                <w:sz w:val="21"/>
                <w:szCs w:val="21"/>
                <w:highlight w:val="none"/>
                <w:u w:val="none"/>
                <w:lang w:val="en-US" w:eastAsia="zh-CN" w:bidi="ar-SA"/>
              </w:rPr>
              <w:t>1个</w:t>
            </w:r>
          </w:p>
        </w:tc>
        <w:tc>
          <w:tcPr>
            <w:tcW w:w="1322" w:type="dxa"/>
            <w:noWrap w:val="0"/>
            <w:vAlign w:val="center"/>
          </w:tcPr>
          <w:p w14:paraId="19FEF9D3">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kern w:val="2"/>
                <w:sz w:val="21"/>
                <w:szCs w:val="21"/>
                <w:highlight w:val="none"/>
                <w:vertAlign w:val="baseline"/>
                <w:lang w:val="en-US" w:eastAsia="zh-CN" w:bidi="ar-SA"/>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3451BA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061" w:type="dxa"/>
            <w:gridSpan w:val="5"/>
            <w:noWrap w:val="0"/>
            <w:vAlign w:val="top"/>
          </w:tcPr>
          <w:p w14:paraId="3BFABB06">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left"/>
              <w:textAlignment w:val="baseline"/>
              <w:rPr>
                <w:rFonts w:hint="eastAsia" w:ascii="仿宋_GB2312" w:hAnsi="仿宋_GB2312" w:eastAsia="仿宋_GB2312" w:cs="仿宋_GB2312"/>
                <w:color w:val="auto"/>
                <w:sz w:val="21"/>
                <w:szCs w:val="21"/>
                <w:highlight w:val="none"/>
                <w:vertAlign w:val="baseline"/>
                <w:lang w:val="en-US" w:eastAsia="zh-CN"/>
              </w:rPr>
            </w:pPr>
            <w:r>
              <w:rPr>
                <w:rFonts w:hint="eastAsia" w:ascii="CESI楷体-GB2312" w:hAnsi="CESI楷体-GB2312" w:eastAsia="CESI楷体-GB2312" w:cs="CESI楷体-GB2312"/>
                <w:color w:val="auto"/>
                <w:sz w:val="21"/>
                <w:szCs w:val="21"/>
                <w:highlight w:val="none"/>
                <w:vertAlign w:val="baseline"/>
                <w:lang w:val="en-US" w:eastAsia="zh-CN"/>
              </w:rPr>
              <w:t>八、纸棺</w:t>
            </w:r>
          </w:p>
        </w:tc>
      </w:tr>
      <w:tr w14:paraId="737B22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noWrap w:val="0"/>
            <w:vAlign w:val="top"/>
          </w:tcPr>
          <w:p w14:paraId="59AB5B2E">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noWrap w:val="0"/>
            <w:vAlign w:val="top"/>
          </w:tcPr>
          <w:p w14:paraId="79282BDA">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普通纸棺</w:t>
            </w:r>
          </w:p>
        </w:tc>
        <w:tc>
          <w:tcPr>
            <w:tcW w:w="5111" w:type="dxa"/>
            <w:noWrap w:val="0"/>
            <w:vAlign w:val="top"/>
          </w:tcPr>
          <w:p w14:paraId="4C07CE40">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190*60*40cm计算，普通纸棺四周使用彩纸粘贴。</w:t>
            </w:r>
          </w:p>
        </w:tc>
        <w:tc>
          <w:tcPr>
            <w:tcW w:w="669" w:type="dxa"/>
            <w:noWrap w:val="0"/>
            <w:vAlign w:val="top"/>
          </w:tcPr>
          <w:p w14:paraId="654FE6C5">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2"/>
                <w:sz w:val="21"/>
                <w:szCs w:val="21"/>
                <w:highlight w:val="none"/>
                <w:u w:val="none"/>
                <w:lang w:val="en-US" w:eastAsia="zh-CN" w:bidi="ar-SA"/>
              </w:rPr>
              <w:t>1个</w:t>
            </w:r>
          </w:p>
        </w:tc>
        <w:tc>
          <w:tcPr>
            <w:tcW w:w="1322" w:type="dxa"/>
            <w:noWrap w:val="0"/>
            <w:vAlign w:val="center"/>
          </w:tcPr>
          <w:p w14:paraId="22516B96">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kern w:val="2"/>
                <w:sz w:val="21"/>
                <w:szCs w:val="21"/>
                <w:highlight w:val="none"/>
                <w:vertAlign w:val="baseline"/>
                <w:lang w:val="en-US" w:eastAsia="zh-CN" w:bidi="ar-SA"/>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37EE41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noWrap w:val="0"/>
            <w:vAlign w:val="top"/>
          </w:tcPr>
          <w:p w14:paraId="1E4D1CB7">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noWrap w:val="0"/>
            <w:vAlign w:val="center"/>
          </w:tcPr>
          <w:p w14:paraId="11BA1B66">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高档纸棺</w:t>
            </w:r>
          </w:p>
        </w:tc>
        <w:tc>
          <w:tcPr>
            <w:tcW w:w="5111" w:type="dxa"/>
            <w:noWrap w:val="0"/>
            <w:vAlign w:val="top"/>
          </w:tcPr>
          <w:p w14:paraId="40F88F88">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190*60*40cm计算，高档纸棺四周为彩色绒布粘贴。</w:t>
            </w:r>
          </w:p>
        </w:tc>
        <w:tc>
          <w:tcPr>
            <w:tcW w:w="669" w:type="dxa"/>
            <w:noWrap w:val="0"/>
            <w:vAlign w:val="top"/>
          </w:tcPr>
          <w:p w14:paraId="1C22E8CE">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宋体" w:hAnsi="宋体" w:eastAsia="宋体" w:cs="宋体"/>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2"/>
                <w:sz w:val="21"/>
                <w:szCs w:val="21"/>
                <w:highlight w:val="none"/>
                <w:u w:val="none"/>
                <w:lang w:val="en-US" w:eastAsia="zh-CN" w:bidi="ar-SA"/>
              </w:rPr>
              <w:t>1个</w:t>
            </w:r>
          </w:p>
        </w:tc>
        <w:tc>
          <w:tcPr>
            <w:tcW w:w="1322" w:type="dxa"/>
            <w:noWrap w:val="0"/>
            <w:vAlign w:val="center"/>
          </w:tcPr>
          <w:p w14:paraId="10C173A2">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kern w:val="2"/>
                <w:sz w:val="21"/>
                <w:szCs w:val="21"/>
                <w:highlight w:val="none"/>
                <w:vertAlign w:val="baseline"/>
                <w:lang w:val="en-US" w:eastAsia="zh-CN" w:bidi="ar-SA"/>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57D671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061" w:type="dxa"/>
            <w:gridSpan w:val="5"/>
            <w:noWrap w:val="0"/>
            <w:vAlign w:val="top"/>
          </w:tcPr>
          <w:p w14:paraId="3CE47D37">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both"/>
              <w:textAlignment w:val="baseline"/>
              <w:rPr>
                <w:rFonts w:hint="eastAsia" w:ascii="仿宋_GB2312" w:hAnsi="仿宋_GB2312" w:eastAsia="仿宋_GB2312" w:cs="仿宋_GB2312"/>
                <w:color w:val="auto"/>
                <w:sz w:val="21"/>
                <w:szCs w:val="21"/>
                <w:highlight w:val="none"/>
                <w:vertAlign w:val="baseline"/>
                <w:lang w:val="en-US" w:eastAsia="zh-CN"/>
              </w:rPr>
            </w:pPr>
            <w:r>
              <w:rPr>
                <w:rFonts w:hint="eastAsia" w:ascii="CESI楷体-GB2312" w:hAnsi="CESI楷体-GB2312" w:eastAsia="CESI楷体-GB2312" w:cs="CESI楷体-GB2312"/>
                <w:color w:val="auto"/>
                <w:sz w:val="21"/>
                <w:szCs w:val="21"/>
                <w:highlight w:val="none"/>
                <w:vertAlign w:val="baseline"/>
                <w:lang w:val="en-US" w:eastAsia="zh-CN"/>
              </w:rPr>
              <w:t>九、组合祭品</w:t>
            </w:r>
          </w:p>
        </w:tc>
      </w:tr>
      <w:tr w14:paraId="2D52A5A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noWrap w:val="0"/>
            <w:vAlign w:val="center"/>
          </w:tcPr>
          <w:p w14:paraId="090359EB">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noWrap w:val="0"/>
            <w:vAlign w:val="center"/>
          </w:tcPr>
          <w:p w14:paraId="2355FAB6">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2"/>
                <w:sz w:val="21"/>
                <w:szCs w:val="21"/>
                <w:highlight w:val="none"/>
                <w:u w:val="none"/>
                <w:lang w:val="en-US" w:eastAsia="zh-CN" w:bidi="ar-SA"/>
              </w:rPr>
              <w:t>开光酒盒</w:t>
            </w:r>
          </w:p>
        </w:tc>
        <w:tc>
          <w:tcPr>
            <w:tcW w:w="5111" w:type="dxa"/>
            <w:noWrap w:val="0"/>
            <w:vAlign w:val="center"/>
          </w:tcPr>
          <w:p w14:paraId="03231E27">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(1)尺寸:长320毫米、宽90毫米、高250毫米。(2)外观材质:白底黑字手提纸箱。</w:t>
            </w:r>
          </w:p>
          <w:p w14:paraId="785DBC1A">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0"/>
                <w:sz w:val="21"/>
                <w:szCs w:val="21"/>
                <w:highlight w:val="none"/>
                <w:u w:val="none"/>
                <w:lang w:val="en-US" w:eastAsia="zh-CN" w:bidi="ar"/>
              </w:rPr>
              <w:t>(3)内部组成:一斤装白酒两瓶、酒杯一个、剪刀一把、开光棉签3个(长把)、白手套一副。</w:t>
            </w:r>
          </w:p>
        </w:tc>
        <w:tc>
          <w:tcPr>
            <w:tcW w:w="669" w:type="dxa"/>
            <w:noWrap w:val="0"/>
            <w:vAlign w:val="center"/>
          </w:tcPr>
          <w:p w14:paraId="61E49999">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1套</w:t>
            </w:r>
          </w:p>
        </w:tc>
        <w:tc>
          <w:tcPr>
            <w:tcW w:w="1322" w:type="dxa"/>
            <w:noWrap w:val="0"/>
            <w:vAlign w:val="center"/>
          </w:tcPr>
          <w:p w14:paraId="64E7B5E5">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kern w:val="2"/>
                <w:sz w:val="21"/>
                <w:szCs w:val="21"/>
                <w:highlight w:val="none"/>
                <w:vertAlign w:val="baseline"/>
                <w:lang w:val="en-US" w:eastAsia="zh-CN" w:bidi="ar-SA"/>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7191F9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noWrap w:val="0"/>
            <w:vAlign w:val="center"/>
          </w:tcPr>
          <w:p w14:paraId="482720C7">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noWrap w:val="0"/>
            <w:vAlign w:val="center"/>
          </w:tcPr>
          <w:p w14:paraId="0F97E9C1">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2"/>
                <w:sz w:val="21"/>
                <w:szCs w:val="21"/>
                <w:highlight w:val="none"/>
                <w:u w:val="none"/>
                <w:lang w:val="en-US" w:eastAsia="zh-CN" w:bidi="ar-SA"/>
              </w:rPr>
              <w:t>精品供菜</w:t>
            </w:r>
          </w:p>
          <w:p w14:paraId="7002C6FF">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2"/>
                <w:sz w:val="21"/>
                <w:szCs w:val="21"/>
                <w:highlight w:val="none"/>
                <w:u w:val="none"/>
                <w:lang w:val="en-US" w:eastAsia="zh-CN" w:bidi="ar-SA"/>
              </w:rPr>
              <w:t>（荤菜）</w:t>
            </w:r>
          </w:p>
        </w:tc>
        <w:tc>
          <w:tcPr>
            <w:tcW w:w="5111" w:type="dxa"/>
            <w:noWrap w:val="0"/>
            <w:vAlign w:val="center"/>
          </w:tcPr>
          <w:p w14:paraId="294DA714">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由15个馒头（每个不得小于10厘米），三样水果（水果可以按季节准备，个头偏大，必须能装满盘）一只完整大烧鸡，五条炸鱼（炸鱼的长度不低于15厘米），一块方肉（猪五花即可，方肉长宽不小于15厘米），一大棵白菜头，一大块豆腐，一斤装的白酒，三个酒杯，三双筷子组成。</w:t>
            </w:r>
          </w:p>
        </w:tc>
        <w:tc>
          <w:tcPr>
            <w:tcW w:w="669" w:type="dxa"/>
            <w:noWrap w:val="0"/>
            <w:vAlign w:val="center"/>
          </w:tcPr>
          <w:p w14:paraId="1C98D7EF">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1套</w:t>
            </w:r>
          </w:p>
        </w:tc>
        <w:tc>
          <w:tcPr>
            <w:tcW w:w="1322" w:type="dxa"/>
            <w:noWrap w:val="0"/>
            <w:vAlign w:val="center"/>
          </w:tcPr>
          <w:p w14:paraId="37700752">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kern w:val="2"/>
                <w:sz w:val="21"/>
                <w:szCs w:val="21"/>
                <w:highlight w:val="none"/>
                <w:vertAlign w:val="baseline"/>
                <w:lang w:val="en-US" w:eastAsia="zh-CN" w:bidi="ar-SA"/>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4B248D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noWrap w:val="0"/>
            <w:vAlign w:val="center"/>
          </w:tcPr>
          <w:p w14:paraId="2EBAB9BA">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both"/>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noWrap w:val="0"/>
            <w:vAlign w:val="center"/>
          </w:tcPr>
          <w:p w14:paraId="546C7294">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2"/>
                <w:sz w:val="21"/>
                <w:szCs w:val="21"/>
                <w:highlight w:val="none"/>
                <w:u w:val="none"/>
                <w:lang w:val="en-US" w:eastAsia="zh-CN" w:bidi="ar-SA"/>
              </w:rPr>
              <w:t>精品供菜</w:t>
            </w:r>
          </w:p>
          <w:p w14:paraId="1A21154B">
            <w:pPr>
              <w:keepNext w:val="0"/>
              <w:keepLines w:val="0"/>
              <w:widowControl/>
              <w:suppressLineNumbers w:val="0"/>
              <w:jc w:val="center"/>
              <w:textAlignment w:val="center"/>
              <w:rPr>
                <w:rFonts w:hint="eastAsia" w:ascii="仿宋_GB2312" w:hAnsi="仿宋_GB2312" w:eastAsia="仿宋_GB2312" w:cs="仿宋_GB2312"/>
                <w:i w:val="0"/>
                <w:iCs w:val="0"/>
                <w:color w:val="000000"/>
                <w:kern w:val="2"/>
                <w:sz w:val="21"/>
                <w:szCs w:val="21"/>
                <w:highlight w:val="none"/>
                <w:u w:val="none"/>
                <w:lang w:val="en-US" w:eastAsia="zh-CN" w:bidi="ar-SA"/>
              </w:rPr>
            </w:pPr>
            <w:r>
              <w:rPr>
                <w:rFonts w:hint="eastAsia" w:ascii="仿宋_GB2312" w:hAnsi="仿宋_GB2312" w:eastAsia="仿宋_GB2312" w:cs="仿宋_GB2312"/>
                <w:i w:val="0"/>
                <w:iCs w:val="0"/>
                <w:color w:val="000000"/>
                <w:kern w:val="2"/>
                <w:sz w:val="21"/>
                <w:szCs w:val="21"/>
                <w:highlight w:val="none"/>
                <w:u w:val="none"/>
                <w:lang w:val="en-US" w:eastAsia="zh-CN" w:bidi="ar-SA"/>
              </w:rPr>
              <w:t>（素菜）</w:t>
            </w:r>
          </w:p>
        </w:tc>
        <w:tc>
          <w:tcPr>
            <w:tcW w:w="5111" w:type="dxa"/>
            <w:noWrap w:val="0"/>
            <w:vAlign w:val="center"/>
          </w:tcPr>
          <w:p w14:paraId="11D67654">
            <w:pPr>
              <w:keepNext w:val="0"/>
              <w:keepLines w:val="0"/>
              <w:pageBreakBefore w:val="0"/>
              <w:widowControl/>
              <w:suppressLineNumbers w:val="0"/>
              <w:kinsoku/>
              <w:wordWrap/>
              <w:overflowPunct/>
              <w:topLinePunct w:val="0"/>
              <w:autoSpaceDE/>
              <w:autoSpaceDN/>
              <w:bidi w:val="0"/>
              <w:adjustRightInd/>
              <w:snapToGrid/>
              <w:spacing w:line="0" w:lineRule="atLeast"/>
              <w:jc w:val="left"/>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由15个慢头（每个不得小于10厘米），三样水果（水果可以按季节准备，个头偏大，必须能装满盘）。一大棵白菜头，一大块豆腐，一盘花生米；一盘炸虾片、一盘粉条，一瓶矿泉水，三个酒杯，三双筷子组成。</w:t>
            </w:r>
          </w:p>
        </w:tc>
        <w:tc>
          <w:tcPr>
            <w:tcW w:w="669" w:type="dxa"/>
            <w:noWrap w:val="0"/>
            <w:vAlign w:val="center"/>
          </w:tcPr>
          <w:p w14:paraId="1A3A5C1C">
            <w:pPr>
              <w:keepNext w:val="0"/>
              <w:keepLines w:val="0"/>
              <w:pageBreakBefore w:val="0"/>
              <w:widowControl/>
              <w:suppressLineNumbers w:val="0"/>
              <w:kinsoku/>
              <w:wordWrap/>
              <w:overflowPunct/>
              <w:topLinePunct w:val="0"/>
              <w:autoSpaceDE/>
              <w:autoSpaceDN/>
              <w:bidi w:val="0"/>
              <w:adjustRightInd/>
              <w:snapToGrid/>
              <w:spacing w:line="0" w:lineRule="atLeast"/>
              <w:jc w:val="center"/>
              <w:textAlignment w:val="center"/>
              <w:rPr>
                <w:rFonts w:hint="eastAsia" w:ascii="仿宋_GB2312" w:hAnsi="仿宋_GB2312" w:eastAsia="仿宋_GB2312" w:cs="仿宋_GB2312"/>
                <w:i w:val="0"/>
                <w:iCs w:val="0"/>
                <w:color w:val="000000"/>
                <w:kern w:val="0"/>
                <w:sz w:val="21"/>
                <w:szCs w:val="21"/>
                <w:highlight w:val="none"/>
                <w:u w:val="none"/>
                <w:lang w:val="en-US" w:eastAsia="zh-CN" w:bidi="ar"/>
              </w:rPr>
            </w:pPr>
            <w:r>
              <w:rPr>
                <w:rFonts w:hint="eastAsia" w:ascii="仿宋_GB2312" w:hAnsi="仿宋_GB2312" w:eastAsia="仿宋_GB2312" w:cs="仿宋_GB2312"/>
                <w:i w:val="0"/>
                <w:iCs w:val="0"/>
                <w:color w:val="000000"/>
                <w:kern w:val="0"/>
                <w:sz w:val="21"/>
                <w:szCs w:val="21"/>
                <w:highlight w:val="none"/>
                <w:u w:val="none"/>
                <w:lang w:val="en-US" w:eastAsia="zh-CN" w:bidi="ar"/>
              </w:rPr>
              <w:t>1套</w:t>
            </w:r>
          </w:p>
        </w:tc>
        <w:tc>
          <w:tcPr>
            <w:tcW w:w="1322" w:type="dxa"/>
            <w:noWrap w:val="0"/>
            <w:vAlign w:val="center"/>
          </w:tcPr>
          <w:p w14:paraId="4E7D3880">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kern w:val="2"/>
                <w:sz w:val="21"/>
                <w:szCs w:val="21"/>
                <w:highlight w:val="none"/>
                <w:vertAlign w:val="baseline"/>
                <w:lang w:val="en-US" w:eastAsia="zh-CN" w:bidi="ar-SA"/>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4367B7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061" w:type="dxa"/>
            <w:gridSpan w:val="5"/>
            <w:noWrap w:val="0"/>
            <w:vAlign w:val="top"/>
          </w:tcPr>
          <w:p w14:paraId="2B6536D0">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both"/>
              <w:textAlignment w:val="baseline"/>
              <w:rPr>
                <w:rFonts w:hint="eastAsia" w:ascii="仿宋_GB2312" w:hAnsi="仿宋_GB2312" w:eastAsia="仿宋_GB2312" w:cs="仿宋_GB2312"/>
                <w:color w:val="auto"/>
                <w:sz w:val="21"/>
                <w:szCs w:val="21"/>
                <w:highlight w:val="none"/>
                <w:vertAlign w:val="baseline"/>
                <w:lang w:val="en-US" w:eastAsia="zh-CN"/>
              </w:rPr>
            </w:pPr>
            <w:r>
              <w:rPr>
                <w:rFonts w:hint="eastAsia" w:ascii="CESI楷体-GB2312" w:hAnsi="CESI楷体-GB2312" w:eastAsia="CESI楷体-GB2312" w:cs="CESI楷体-GB2312"/>
                <w:color w:val="auto"/>
                <w:sz w:val="21"/>
                <w:szCs w:val="21"/>
                <w:highlight w:val="none"/>
                <w:vertAlign w:val="baseline"/>
                <w:lang w:val="en-US" w:eastAsia="zh-CN"/>
              </w:rPr>
              <w:t>十、骨灰袋（盒、材）</w:t>
            </w:r>
          </w:p>
        </w:tc>
      </w:tr>
      <w:tr w14:paraId="15E87A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noWrap w:val="0"/>
            <w:vAlign w:val="center"/>
          </w:tcPr>
          <w:p w14:paraId="4C9F8F78">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noWrap w:val="0"/>
            <w:vAlign w:val="center"/>
          </w:tcPr>
          <w:p w14:paraId="51A713DD">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骨灰袋</w:t>
            </w:r>
          </w:p>
        </w:tc>
        <w:tc>
          <w:tcPr>
            <w:tcW w:w="5111" w:type="dxa"/>
            <w:noWrap w:val="0"/>
            <w:vAlign w:val="center"/>
          </w:tcPr>
          <w:p w14:paraId="452DCC1E">
            <w:pPr>
              <w:keepNext w:val="0"/>
              <w:keepLines w:val="0"/>
              <w:widowControl/>
              <w:suppressLineNumbers w:val="0"/>
              <w:jc w:val="left"/>
              <w:textAlignment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锦缎刺绣。尺寸31*15*15cm。</w:t>
            </w:r>
          </w:p>
        </w:tc>
        <w:tc>
          <w:tcPr>
            <w:tcW w:w="669" w:type="dxa"/>
            <w:noWrap w:val="0"/>
            <w:vAlign w:val="top"/>
          </w:tcPr>
          <w:p w14:paraId="4FA3D3C5">
            <w:pPr>
              <w:keepNext w:val="0"/>
              <w:keepLines w:val="0"/>
              <w:widowControl/>
              <w:suppressLineNumbers w:val="0"/>
              <w:jc w:val="center"/>
              <w:textAlignment w:val="center"/>
              <w:rPr>
                <w:rFonts w:hint="default"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1个</w:t>
            </w:r>
          </w:p>
        </w:tc>
        <w:tc>
          <w:tcPr>
            <w:tcW w:w="1322" w:type="dxa"/>
            <w:noWrap w:val="0"/>
            <w:vAlign w:val="center"/>
          </w:tcPr>
          <w:p w14:paraId="7039EDAF">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kern w:val="2"/>
                <w:sz w:val="21"/>
                <w:szCs w:val="21"/>
                <w:highlight w:val="none"/>
                <w:vertAlign w:val="baseline"/>
                <w:lang w:val="en-US" w:eastAsia="zh-CN" w:bidi="ar-SA"/>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04A38B3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noWrap w:val="0"/>
            <w:vAlign w:val="center"/>
          </w:tcPr>
          <w:p w14:paraId="6B93CE17">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noWrap w:val="0"/>
            <w:vAlign w:val="center"/>
          </w:tcPr>
          <w:p w14:paraId="3C39A886">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骨灰袋</w:t>
            </w:r>
          </w:p>
        </w:tc>
        <w:tc>
          <w:tcPr>
            <w:tcW w:w="5111" w:type="dxa"/>
            <w:noWrap w:val="0"/>
            <w:vAlign w:val="center"/>
          </w:tcPr>
          <w:p w14:paraId="7D5E33D0">
            <w:pPr>
              <w:keepNext w:val="0"/>
              <w:keepLines w:val="0"/>
              <w:widowControl/>
              <w:suppressLineNumbers w:val="0"/>
              <w:jc w:val="left"/>
              <w:textAlignment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锦缎刺绣。尺寸68*26*22cm。</w:t>
            </w:r>
          </w:p>
        </w:tc>
        <w:tc>
          <w:tcPr>
            <w:tcW w:w="669" w:type="dxa"/>
            <w:noWrap w:val="0"/>
            <w:vAlign w:val="top"/>
          </w:tcPr>
          <w:p w14:paraId="5071158B">
            <w:pPr>
              <w:keepNext w:val="0"/>
              <w:keepLines w:val="0"/>
              <w:widowControl/>
              <w:suppressLineNumbers w:val="0"/>
              <w:jc w:val="center"/>
              <w:textAlignment w:val="center"/>
              <w:rPr>
                <w:rFonts w:hint="default"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1个</w:t>
            </w:r>
          </w:p>
        </w:tc>
        <w:tc>
          <w:tcPr>
            <w:tcW w:w="1322" w:type="dxa"/>
            <w:noWrap w:val="0"/>
            <w:vAlign w:val="center"/>
          </w:tcPr>
          <w:p w14:paraId="6FE90D88">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kern w:val="2"/>
                <w:sz w:val="21"/>
                <w:szCs w:val="21"/>
                <w:highlight w:val="none"/>
                <w:vertAlign w:val="baseline"/>
                <w:lang w:val="en-US" w:eastAsia="zh-CN" w:bidi="ar-SA"/>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3B14AB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noWrap w:val="0"/>
            <w:vAlign w:val="center"/>
          </w:tcPr>
          <w:p w14:paraId="448E90D4">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noWrap w:val="0"/>
            <w:vAlign w:val="center"/>
          </w:tcPr>
          <w:p w14:paraId="7E769BE3">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高档骨灰盒</w:t>
            </w:r>
          </w:p>
        </w:tc>
        <w:tc>
          <w:tcPr>
            <w:tcW w:w="5111" w:type="dxa"/>
            <w:noWrap w:val="0"/>
            <w:vAlign w:val="center"/>
          </w:tcPr>
          <w:p w14:paraId="56B0840D">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vertAlign w:val="baseline"/>
                <w:lang w:val="en-US" w:eastAsia="zh-CN"/>
              </w:rPr>
            </w:pPr>
          </w:p>
        </w:tc>
        <w:tc>
          <w:tcPr>
            <w:tcW w:w="669" w:type="dxa"/>
            <w:noWrap w:val="0"/>
            <w:vAlign w:val="top"/>
          </w:tcPr>
          <w:p w14:paraId="4F7CFEB4">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1个</w:t>
            </w:r>
          </w:p>
        </w:tc>
        <w:tc>
          <w:tcPr>
            <w:tcW w:w="1322" w:type="dxa"/>
            <w:noWrap w:val="0"/>
            <w:vAlign w:val="center"/>
          </w:tcPr>
          <w:p w14:paraId="4D6C17F5">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kern w:val="2"/>
                <w:sz w:val="21"/>
                <w:szCs w:val="21"/>
                <w:highlight w:val="none"/>
                <w:vertAlign w:val="baseline"/>
                <w:lang w:val="en-US" w:eastAsia="zh-CN" w:bidi="ar-SA"/>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160957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noWrap w:val="0"/>
            <w:vAlign w:val="center"/>
          </w:tcPr>
          <w:p w14:paraId="61FA6791">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noWrap w:val="0"/>
            <w:vAlign w:val="center"/>
          </w:tcPr>
          <w:p w14:paraId="45C2AA28">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中档骨灰盒</w:t>
            </w:r>
          </w:p>
        </w:tc>
        <w:tc>
          <w:tcPr>
            <w:tcW w:w="5111" w:type="dxa"/>
            <w:noWrap w:val="0"/>
            <w:vAlign w:val="center"/>
          </w:tcPr>
          <w:p w14:paraId="33D59701">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vertAlign w:val="baseline"/>
                <w:lang w:val="en-US" w:eastAsia="zh-CN"/>
              </w:rPr>
            </w:pPr>
          </w:p>
        </w:tc>
        <w:tc>
          <w:tcPr>
            <w:tcW w:w="669" w:type="dxa"/>
            <w:noWrap w:val="0"/>
            <w:vAlign w:val="top"/>
          </w:tcPr>
          <w:p w14:paraId="76FC4B9A">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1个</w:t>
            </w:r>
          </w:p>
        </w:tc>
        <w:tc>
          <w:tcPr>
            <w:tcW w:w="1322" w:type="dxa"/>
            <w:noWrap w:val="0"/>
            <w:vAlign w:val="center"/>
          </w:tcPr>
          <w:p w14:paraId="5359D001">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kern w:val="2"/>
                <w:sz w:val="21"/>
                <w:szCs w:val="21"/>
                <w:highlight w:val="none"/>
                <w:vertAlign w:val="baseline"/>
                <w:lang w:val="en-US" w:eastAsia="zh-CN" w:bidi="ar-SA"/>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0FE757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noWrap w:val="0"/>
            <w:vAlign w:val="center"/>
          </w:tcPr>
          <w:p w14:paraId="54AE883E">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1517" w:type="dxa"/>
            <w:noWrap w:val="0"/>
            <w:vAlign w:val="center"/>
          </w:tcPr>
          <w:p w14:paraId="440ED1E0">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低档骨灰盒</w:t>
            </w:r>
          </w:p>
        </w:tc>
        <w:tc>
          <w:tcPr>
            <w:tcW w:w="5111" w:type="dxa"/>
            <w:noWrap w:val="0"/>
            <w:vAlign w:val="center"/>
          </w:tcPr>
          <w:p w14:paraId="79224218">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vertAlign w:val="baseline"/>
                <w:lang w:val="en-US" w:eastAsia="zh-CN"/>
              </w:rPr>
            </w:pPr>
          </w:p>
        </w:tc>
        <w:tc>
          <w:tcPr>
            <w:tcW w:w="669" w:type="dxa"/>
            <w:noWrap w:val="0"/>
            <w:vAlign w:val="top"/>
          </w:tcPr>
          <w:p w14:paraId="1647B3D7">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1个</w:t>
            </w:r>
          </w:p>
        </w:tc>
        <w:tc>
          <w:tcPr>
            <w:tcW w:w="1322" w:type="dxa"/>
            <w:noWrap w:val="0"/>
            <w:vAlign w:val="center"/>
          </w:tcPr>
          <w:p w14:paraId="4EF5DB5E">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kern w:val="2"/>
                <w:sz w:val="21"/>
                <w:szCs w:val="21"/>
                <w:highlight w:val="none"/>
                <w:vertAlign w:val="baseline"/>
                <w:lang w:val="en-US" w:eastAsia="zh-CN" w:bidi="ar-SA"/>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488FA6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061" w:type="dxa"/>
            <w:gridSpan w:val="5"/>
            <w:noWrap w:val="0"/>
            <w:vAlign w:val="center"/>
          </w:tcPr>
          <w:p w14:paraId="733F1F87">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both"/>
              <w:textAlignment w:val="baseline"/>
              <w:rPr>
                <w:rFonts w:hint="eastAsia" w:ascii="仿宋_GB2312" w:hAnsi="仿宋_GB2312" w:eastAsia="仿宋_GB2312" w:cs="仿宋_GB2312"/>
                <w:color w:val="auto"/>
                <w:sz w:val="21"/>
                <w:szCs w:val="21"/>
                <w:highlight w:val="none"/>
                <w:vertAlign w:val="baseline"/>
                <w:lang w:val="en-US" w:eastAsia="zh-CN"/>
              </w:rPr>
            </w:pPr>
            <w:r>
              <w:rPr>
                <w:rFonts w:hint="eastAsia" w:ascii="CESI楷体-GB2312" w:hAnsi="CESI楷体-GB2312" w:eastAsia="CESI楷体-GB2312" w:cs="CESI楷体-GB2312"/>
                <w:color w:val="auto"/>
                <w:sz w:val="21"/>
                <w:szCs w:val="21"/>
                <w:highlight w:val="none"/>
                <w:vertAlign w:val="baseline"/>
                <w:lang w:val="en-US" w:eastAsia="zh-CN"/>
              </w:rPr>
              <w:t>十一、其他类别</w:t>
            </w:r>
          </w:p>
        </w:tc>
      </w:tr>
      <w:tr w14:paraId="774E5A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2" w:type="dxa"/>
            <w:noWrap w:val="0"/>
            <w:vAlign w:val="center"/>
          </w:tcPr>
          <w:p w14:paraId="2E24FB9B">
            <w:pPr>
              <w:pStyle w:val="8"/>
              <w:keepNext w:val="0"/>
              <w:keepLines w:val="0"/>
              <w:pageBreakBefore w:val="0"/>
              <w:widowControl w:val="0"/>
              <w:numPr>
                <w:ilvl w:val="0"/>
                <w:numId w:val="1"/>
              </w:numPr>
              <w:kinsoku/>
              <w:wordWrap/>
              <w:overflowPunct/>
              <w:topLinePunct w:val="0"/>
              <w:autoSpaceDE/>
              <w:autoSpaceDN/>
              <w:bidi w:val="0"/>
              <w:adjustRightInd/>
              <w:snapToGrid/>
              <w:spacing w:line="0" w:lineRule="atLeast"/>
              <w:ind w:left="0" w:leftChars="0"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p>
        </w:tc>
        <w:tc>
          <w:tcPr>
            <w:tcW w:w="7297" w:type="dxa"/>
            <w:gridSpan w:val="3"/>
            <w:noWrap w:val="0"/>
            <w:vAlign w:val="center"/>
          </w:tcPr>
          <w:p w14:paraId="362CEB0B">
            <w:pPr>
              <w:keepNext w:val="0"/>
              <w:keepLines w:val="0"/>
              <w:widowControl/>
              <w:suppressLineNumbers w:val="0"/>
              <w:jc w:val="left"/>
              <w:textAlignment w:val="center"/>
              <w:rPr>
                <w:rFonts w:hint="eastAsia" w:ascii="仿宋_GB2312" w:hAnsi="仿宋_GB2312" w:eastAsia="仿宋_GB2312" w:cs="仿宋_GB2312"/>
                <w:color w:val="auto"/>
                <w:kern w:val="2"/>
                <w:sz w:val="21"/>
                <w:szCs w:val="21"/>
                <w:highlight w:val="none"/>
                <w:vertAlign w:val="baseline"/>
                <w:lang w:val="en-US" w:eastAsia="zh-CN" w:bidi="ar-SA"/>
              </w:rPr>
            </w:pPr>
            <w:r>
              <w:rPr>
                <w:rFonts w:hint="eastAsia" w:ascii="仿宋_GB2312" w:hAnsi="仿宋_GB2312" w:eastAsia="仿宋_GB2312" w:cs="仿宋_GB2312"/>
                <w:color w:val="auto"/>
                <w:sz w:val="21"/>
                <w:szCs w:val="21"/>
                <w:highlight w:val="none"/>
                <w:vertAlign w:val="baseline"/>
                <w:lang w:val="en-US" w:eastAsia="zh-CN"/>
              </w:rPr>
              <w:t>上述清单未涉及项目</w:t>
            </w:r>
          </w:p>
        </w:tc>
        <w:tc>
          <w:tcPr>
            <w:tcW w:w="1322" w:type="dxa"/>
            <w:noWrap w:val="0"/>
            <w:vAlign w:val="center"/>
          </w:tcPr>
          <w:p w14:paraId="07AB383C">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center"/>
              <w:textAlignment w:val="baseline"/>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市场调节价</w:t>
            </w:r>
          </w:p>
        </w:tc>
      </w:tr>
      <w:tr w14:paraId="58DA370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9061" w:type="dxa"/>
            <w:gridSpan w:val="5"/>
            <w:noWrap w:val="0"/>
            <w:vAlign w:val="center"/>
          </w:tcPr>
          <w:p w14:paraId="1F625586">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both"/>
              <w:textAlignment w:val="baseline"/>
              <w:rPr>
                <w:rFonts w:hint="default"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说明：1.《丧葬用品清单》最终将明确项目进货价与销售价之间的差价率，即（销售价-进货价）/进货价。</w:t>
            </w:r>
          </w:p>
          <w:p w14:paraId="22E5E847">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both"/>
              <w:textAlignment w:val="baseline"/>
              <w:rPr>
                <w:rFonts w:hint="default"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 xml:space="preserve">      2.清单所列产品参数为第三方机构调研参数，仅供参考。《丧葬用品清单》中只限定产品项目类别，不限定相关产品参数。计量单位为10、20等其他数量时，可按单个平均价格折算。</w:t>
            </w:r>
          </w:p>
          <w:p w14:paraId="3DD70D96">
            <w:pPr>
              <w:pStyle w:val="8"/>
              <w:keepNext w:val="0"/>
              <w:keepLines w:val="0"/>
              <w:pageBreakBefore w:val="0"/>
              <w:widowControl w:val="0"/>
              <w:kinsoku/>
              <w:wordWrap/>
              <w:overflowPunct/>
              <w:topLinePunct w:val="0"/>
              <w:autoSpaceDE/>
              <w:autoSpaceDN/>
              <w:bidi w:val="0"/>
              <w:adjustRightInd/>
              <w:snapToGrid/>
              <w:spacing w:line="0" w:lineRule="atLeast"/>
              <w:ind w:firstLine="0" w:firstLineChars="0"/>
              <w:jc w:val="both"/>
              <w:textAlignment w:val="baseline"/>
              <w:rPr>
                <w:rFonts w:hint="default"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 xml:space="preserve">      3.按照规定要求，《丧葬用品清单》仅对全市殡葬服务机构内销售丧葬用品进销差价率进行规范。</w:t>
            </w:r>
          </w:p>
        </w:tc>
      </w:tr>
    </w:tbl>
    <w:p w14:paraId="09892817">
      <w:pPr>
        <w:pStyle w:val="8"/>
        <w:keepNext w:val="0"/>
        <w:keepLines w:val="0"/>
        <w:pageBreakBefore w:val="0"/>
        <w:widowControl w:val="0"/>
        <w:kinsoku/>
        <w:wordWrap/>
        <w:overflowPunct/>
        <w:topLinePunct w:val="0"/>
        <w:autoSpaceDE/>
        <w:autoSpaceDN/>
        <w:bidi w:val="0"/>
        <w:adjustRightInd/>
        <w:snapToGrid/>
        <w:spacing w:line="0" w:lineRule="atLeast"/>
        <w:ind w:left="0" w:leftChars="0" w:firstLine="0" w:firstLineChars="0"/>
        <w:jc w:val="left"/>
        <w:textAlignment w:val="baseline"/>
        <w:rPr>
          <w:rFonts w:hint="eastAsia" w:ascii="黑体" w:hAnsi="黑体" w:eastAsia="黑体" w:cs="黑体"/>
          <w:b w:val="0"/>
          <w:bCs w:val="0"/>
          <w:sz w:val="20"/>
          <w:szCs w:val="20"/>
          <w:highlight w:val="none"/>
          <w:lang w:val="en-US" w:eastAsia="zh-CN"/>
        </w:rPr>
      </w:pPr>
    </w:p>
    <w:p w14:paraId="25B719CD">
      <w:pPr>
        <w:pStyle w:val="8"/>
        <w:ind w:left="0" w:leftChars="0" w:firstLine="0" w:firstLineChars="0"/>
        <w:rPr>
          <w:rFonts w:hint="eastAsia" w:ascii="方正小标宋简体" w:hAnsi="方正小标宋简体" w:eastAsia="方正小标宋简体" w:cs="方正小标宋简体"/>
          <w:b w:val="0"/>
          <w:bCs w:val="0"/>
          <w:sz w:val="44"/>
          <w:szCs w:val="44"/>
          <w:highlight w:val="none"/>
          <w:lang w:val="en-US" w:eastAsia="zh-CN"/>
        </w:rPr>
      </w:pPr>
    </w:p>
    <w:p w14:paraId="597E8D56">
      <w:pPr>
        <w:keepNext w:val="0"/>
        <w:keepLines w:val="0"/>
        <w:pageBreakBefore w:val="0"/>
        <w:widowControl w:val="0"/>
        <w:kinsoku/>
        <w:wordWrap/>
        <w:overflowPunct/>
        <w:topLinePunct w:val="0"/>
        <w:autoSpaceDE/>
        <w:autoSpaceDN/>
        <w:bidi w:val="0"/>
        <w:adjustRightInd/>
        <w:snapToGrid/>
        <w:spacing w:before="0" w:after="0" w:line="560" w:lineRule="exact"/>
        <w:ind w:left="0" w:leftChars="0" w:right="0" w:rightChars="0" w:firstLine="322" w:firstLineChars="1611"/>
        <w:jc w:val="both"/>
        <w:textAlignment w:val="auto"/>
        <w:outlineLvl w:val="9"/>
        <w:rPr>
          <w:rFonts w:hint="eastAsia" w:eastAsia="宋体"/>
          <w:sz w:val="2"/>
          <w:szCs w:val="2"/>
          <w:lang w:eastAsia="zh-CN"/>
        </w:rPr>
      </w:pPr>
    </w:p>
    <w:sectPr>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0000600000000000000"/>
    <w:charset w:val="86"/>
    <w:family w:val="auto"/>
    <w:pitch w:val="default"/>
    <w:sig w:usb0="800002BF" w:usb1="184F6CF8" w:usb2="00000012" w:usb3="00000000" w:csb0="00160001" w:csb1="1203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CESI楷体-GB2312">
    <w:altName w:val="楷体_GB2312"/>
    <w:panose1 w:val="02000500000000000000"/>
    <w:charset w:val="86"/>
    <w:family w:val="auto"/>
    <w:pitch w:val="default"/>
    <w:sig w:usb0="00000000" w:usb1="00000000" w:usb2="00000012" w:usb3="00000000" w:csb0="0004000F"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7E0C19"/>
    <w:multiLevelType w:val="singleLevel"/>
    <w:tmpl w:val="F27E0C19"/>
    <w:lvl w:ilvl="0" w:tentative="0">
      <w:start w:val="1"/>
      <w:numFmt w:val="decimal"/>
      <w:suff w:val="nothing"/>
      <w:lvlText w:val="%1"/>
      <w:lvlJc w:val="left"/>
      <w:pPr>
        <w:ind w:left="0" w:firstLine="0"/>
      </w:pPr>
      <w:rPr>
        <w:rFonts w:hint="default"/>
      </w:rPr>
    </w:lvl>
  </w:abstractNum>
  <w:abstractNum w:abstractNumId="1">
    <w:nsid w:val="FF725468"/>
    <w:multiLevelType w:val="singleLevel"/>
    <w:tmpl w:val="FF725468"/>
    <w:lvl w:ilvl="0" w:tentative="0">
      <w:start w:val="1"/>
      <w:numFmt w:val="decimal"/>
      <w:suff w:val="nothing"/>
      <w:lvlText w:val="（%1）"/>
      <w:lvlJc w:val="left"/>
    </w:lvl>
  </w:abstractNum>
  <w:abstractNum w:abstractNumId="2">
    <w:nsid w:val="6FAD86E8"/>
    <w:multiLevelType w:val="singleLevel"/>
    <w:tmpl w:val="6FAD86E8"/>
    <w:lvl w:ilvl="0" w:tentative="0">
      <w:start w:val="1"/>
      <w:numFmt w:val="decimal"/>
      <w:suff w:val="nothing"/>
      <w:lvlText w:val="（%1）"/>
      <w:lvlJc w:val="left"/>
    </w:lvl>
  </w:abstractNum>
  <w:abstractNum w:abstractNumId="3">
    <w:nsid w:val="7DEE14CE"/>
    <w:multiLevelType w:val="singleLevel"/>
    <w:tmpl w:val="7DEE14CE"/>
    <w:lvl w:ilvl="0" w:tentative="0">
      <w:start w:val="1"/>
      <w:numFmt w:val="decimal"/>
      <w:suff w:val="nothing"/>
      <w:lvlText w:val="（%1）"/>
      <w:lvlJc w:val="left"/>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F71EB3"/>
    <w:rsid w:val="0A783FA3"/>
    <w:rsid w:val="175D3551"/>
    <w:rsid w:val="1BC9FCB8"/>
    <w:rsid w:val="1CB74963"/>
    <w:rsid w:val="1DF62CF2"/>
    <w:rsid w:val="25DB3F93"/>
    <w:rsid w:val="2BD47B9D"/>
    <w:rsid w:val="2EFFBA79"/>
    <w:rsid w:val="37DF834D"/>
    <w:rsid w:val="37FF5D6F"/>
    <w:rsid w:val="39DB3A98"/>
    <w:rsid w:val="39E7AC90"/>
    <w:rsid w:val="3BDEAA8C"/>
    <w:rsid w:val="3BF2B852"/>
    <w:rsid w:val="3BFDF887"/>
    <w:rsid w:val="3E6F4EDD"/>
    <w:rsid w:val="3EAB0813"/>
    <w:rsid w:val="3EBEC9B0"/>
    <w:rsid w:val="3F6176A1"/>
    <w:rsid w:val="3FB7FF98"/>
    <w:rsid w:val="3FD91255"/>
    <w:rsid w:val="3FEE5553"/>
    <w:rsid w:val="3FFD31F1"/>
    <w:rsid w:val="479E060D"/>
    <w:rsid w:val="4B9FB8A0"/>
    <w:rsid w:val="4CFE75D8"/>
    <w:rsid w:val="4FF0CDF4"/>
    <w:rsid w:val="517FC281"/>
    <w:rsid w:val="57235E79"/>
    <w:rsid w:val="576EC79B"/>
    <w:rsid w:val="58BF0181"/>
    <w:rsid w:val="59EF84C7"/>
    <w:rsid w:val="5AAA702C"/>
    <w:rsid w:val="5ADBA224"/>
    <w:rsid w:val="5B3F7943"/>
    <w:rsid w:val="5B7BF75F"/>
    <w:rsid w:val="5BF403D4"/>
    <w:rsid w:val="5DED63FE"/>
    <w:rsid w:val="5F275B63"/>
    <w:rsid w:val="5F3E8497"/>
    <w:rsid w:val="5FAE1A82"/>
    <w:rsid w:val="62233964"/>
    <w:rsid w:val="66DF80B7"/>
    <w:rsid w:val="67CD2161"/>
    <w:rsid w:val="67EF7578"/>
    <w:rsid w:val="67FF6C14"/>
    <w:rsid w:val="6A777E0F"/>
    <w:rsid w:val="6AA6C92A"/>
    <w:rsid w:val="6AB74FEA"/>
    <w:rsid w:val="6B3775A3"/>
    <w:rsid w:val="6C962815"/>
    <w:rsid w:val="6D7FECAA"/>
    <w:rsid w:val="6DB93174"/>
    <w:rsid w:val="6DCB731F"/>
    <w:rsid w:val="6DF75B35"/>
    <w:rsid w:val="6E1A398A"/>
    <w:rsid w:val="6EFF7920"/>
    <w:rsid w:val="6F1FA53C"/>
    <w:rsid w:val="6F478A9A"/>
    <w:rsid w:val="6F771467"/>
    <w:rsid w:val="6FDDE90E"/>
    <w:rsid w:val="6FEFF697"/>
    <w:rsid w:val="6FF712CF"/>
    <w:rsid w:val="71F520F1"/>
    <w:rsid w:val="74D6E823"/>
    <w:rsid w:val="74DF5454"/>
    <w:rsid w:val="74F2D6A2"/>
    <w:rsid w:val="75775DB3"/>
    <w:rsid w:val="76FB975E"/>
    <w:rsid w:val="777EEFF1"/>
    <w:rsid w:val="777FD82B"/>
    <w:rsid w:val="77FE6B2F"/>
    <w:rsid w:val="785F2A05"/>
    <w:rsid w:val="78FF40A6"/>
    <w:rsid w:val="795A4093"/>
    <w:rsid w:val="797E742A"/>
    <w:rsid w:val="79FF0A62"/>
    <w:rsid w:val="79FFF0BD"/>
    <w:rsid w:val="7A3A52BF"/>
    <w:rsid w:val="7AEB2606"/>
    <w:rsid w:val="7BE57C7E"/>
    <w:rsid w:val="7BF6F70A"/>
    <w:rsid w:val="7CB3BFF5"/>
    <w:rsid w:val="7CF78FB1"/>
    <w:rsid w:val="7DB507C4"/>
    <w:rsid w:val="7DB710EE"/>
    <w:rsid w:val="7DBB9848"/>
    <w:rsid w:val="7DBF3A07"/>
    <w:rsid w:val="7DBF58CE"/>
    <w:rsid w:val="7DDE8D44"/>
    <w:rsid w:val="7DE7A79B"/>
    <w:rsid w:val="7DEF0D13"/>
    <w:rsid w:val="7DFF33BE"/>
    <w:rsid w:val="7EEDCD7D"/>
    <w:rsid w:val="7EF722EB"/>
    <w:rsid w:val="7F75A261"/>
    <w:rsid w:val="7F9F716A"/>
    <w:rsid w:val="7FB959EF"/>
    <w:rsid w:val="7FBF5A1C"/>
    <w:rsid w:val="7FF3EDA4"/>
    <w:rsid w:val="7FFDB880"/>
    <w:rsid w:val="964F3C06"/>
    <w:rsid w:val="97B6E4CF"/>
    <w:rsid w:val="9BFFC9C2"/>
    <w:rsid w:val="AB7F979B"/>
    <w:rsid w:val="AEBF9802"/>
    <w:rsid w:val="AEF399AE"/>
    <w:rsid w:val="AEF7F0AD"/>
    <w:rsid w:val="AFDD1199"/>
    <w:rsid w:val="AFDFE264"/>
    <w:rsid w:val="AFEBFC6F"/>
    <w:rsid w:val="AFF3DFF3"/>
    <w:rsid w:val="B12BD7FA"/>
    <w:rsid w:val="B1FEB201"/>
    <w:rsid w:val="B3DE4AE5"/>
    <w:rsid w:val="B5EF9C22"/>
    <w:rsid w:val="B7A4A6EA"/>
    <w:rsid w:val="B9745589"/>
    <w:rsid w:val="BCFF6973"/>
    <w:rsid w:val="BD6F0B18"/>
    <w:rsid w:val="BE1972A8"/>
    <w:rsid w:val="BEE6E036"/>
    <w:rsid w:val="BF2E935A"/>
    <w:rsid w:val="BFBB0B50"/>
    <w:rsid w:val="BFC45473"/>
    <w:rsid w:val="CFBDD35D"/>
    <w:rsid w:val="D37B1834"/>
    <w:rsid w:val="D9EDFD20"/>
    <w:rsid w:val="DBBFD290"/>
    <w:rsid w:val="DBCE578C"/>
    <w:rsid w:val="DBF5BD51"/>
    <w:rsid w:val="DBFB04B2"/>
    <w:rsid w:val="DDF96FB2"/>
    <w:rsid w:val="DEBFCD0F"/>
    <w:rsid w:val="DEDF2A77"/>
    <w:rsid w:val="DEEFEDAF"/>
    <w:rsid w:val="DEFE7069"/>
    <w:rsid w:val="DEFF817B"/>
    <w:rsid w:val="DFB34FFA"/>
    <w:rsid w:val="DFFF117E"/>
    <w:rsid w:val="DFFF6597"/>
    <w:rsid w:val="DFFFDA71"/>
    <w:rsid w:val="E2F7F200"/>
    <w:rsid w:val="E7D6D29B"/>
    <w:rsid w:val="E7FD08AF"/>
    <w:rsid w:val="E9F64AF1"/>
    <w:rsid w:val="EBDA229D"/>
    <w:rsid w:val="EBECFC24"/>
    <w:rsid w:val="EBFF90AC"/>
    <w:rsid w:val="ED7DCF04"/>
    <w:rsid w:val="EE7E5430"/>
    <w:rsid w:val="EE8FA509"/>
    <w:rsid w:val="EF789015"/>
    <w:rsid w:val="EFE780FD"/>
    <w:rsid w:val="EFFF2390"/>
    <w:rsid w:val="F25C0195"/>
    <w:rsid w:val="F47DCBE6"/>
    <w:rsid w:val="F58F8EE0"/>
    <w:rsid w:val="F5BA638F"/>
    <w:rsid w:val="F5F626C1"/>
    <w:rsid w:val="F5FFDF95"/>
    <w:rsid w:val="F63F615F"/>
    <w:rsid w:val="F6FF164C"/>
    <w:rsid w:val="F6FF9ACF"/>
    <w:rsid w:val="F77EFF74"/>
    <w:rsid w:val="F797E97F"/>
    <w:rsid w:val="F7AF6727"/>
    <w:rsid w:val="F9DF726E"/>
    <w:rsid w:val="F9FD18B4"/>
    <w:rsid w:val="FA9BB3C0"/>
    <w:rsid w:val="FB77EA67"/>
    <w:rsid w:val="FBF54C97"/>
    <w:rsid w:val="FBFF9981"/>
    <w:rsid w:val="FCBF3625"/>
    <w:rsid w:val="FCF5F00B"/>
    <w:rsid w:val="FCF7975F"/>
    <w:rsid w:val="FD736A78"/>
    <w:rsid w:val="FDB7611B"/>
    <w:rsid w:val="FDBF718E"/>
    <w:rsid w:val="FDF3783F"/>
    <w:rsid w:val="FDFF7B66"/>
    <w:rsid w:val="FEBD5119"/>
    <w:rsid w:val="FEE7FBCD"/>
    <w:rsid w:val="FF0F0690"/>
    <w:rsid w:val="FF772429"/>
    <w:rsid w:val="FF9A4EA3"/>
    <w:rsid w:val="FF9E589C"/>
    <w:rsid w:val="FF9FB7DB"/>
    <w:rsid w:val="FFAF53F3"/>
    <w:rsid w:val="FFBF3AA3"/>
    <w:rsid w:val="FFC396D7"/>
    <w:rsid w:val="FFCFC8CF"/>
    <w:rsid w:val="FFDB6520"/>
    <w:rsid w:val="FFDD4E65"/>
    <w:rsid w:val="FFDF6420"/>
    <w:rsid w:val="FFE68160"/>
    <w:rsid w:val="FFED815B"/>
    <w:rsid w:val="FFF93AE1"/>
    <w:rsid w:val="FFFE295A"/>
    <w:rsid w:val="FFFE86D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next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paragraph" w:customStyle="1" w:styleId="8">
    <w:name w:val="NormalIndent"/>
    <w:basedOn w:val="1"/>
    <w:qFormat/>
    <w:uiPriority w:val="99"/>
    <w:pPr>
      <w:ind w:firstLine="420"/>
      <w:textAlignment w:val="baseline"/>
    </w:pPr>
    <w:rPr>
      <w:szCs w:val="21"/>
    </w:rPr>
  </w:style>
  <w:style w:type="character" w:customStyle="1" w:styleId="9">
    <w:name w:val="font112"/>
    <w:basedOn w:val="6"/>
    <w:qFormat/>
    <w:uiPriority w:val="0"/>
    <w:rPr>
      <w:rFonts w:hint="eastAsia" w:ascii="宋体" w:hAnsi="宋体" w:eastAsia="宋体" w:cs="宋体"/>
      <w:color w:val="000000"/>
      <w:sz w:val="18"/>
      <w:szCs w:val="18"/>
      <w:u w:val="none"/>
    </w:rPr>
  </w:style>
  <w:style w:type="character" w:customStyle="1" w:styleId="10">
    <w:name w:val="font121"/>
    <w:basedOn w:val="6"/>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1818</Words>
  <Characters>1839</Characters>
  <Lines>0</Lines>
  <Paragraphs>0</Paragraphs>
  <TotalTime>11</TotalTime>
  <ScaleCrop>false</ScaleCrop>
  <LinksUpToDate>false</LinksUpToDate>
  <CharactersWithSpaces>1841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2014-11-03T20:08:00Z</dcterms:created>
  <dc:creator>Administrator</dc:creator>
  <cp:lastModifiedBy>Ethereal</cp:lastModifiedBy>
  <cp:lastPrinted>2026-10-22T17:06:00Z</cp:lastPrinted>
  <dcterms:modified xsi:type="dcterms:W3CDTF">2026-10-26T01:51:42Z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0AC34439D20843D186F58A0D34476B86_13</vt:lpwstr>
  </property>
  <property fmtid="{D5CDD505-2E9C-101B-9397-08002B2CF9AE}" pid="4" name="KSOTemplateDocerSaveRecord">
    <vt:lpwstr>eyJoZGlkIjoiM2M5YjcwYjEwNGVjZDhhOGM5MDJkODhjNWIwODViNTMiLCJ1c2VySWQiOiI1OTIyOTkxMjUifQ==</vt:lpwstr>
  </property>
</Properties>
</file>