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029E4">
      <w:pPr>
        <w:pStyle w:val="6"/>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baseline"/>
        <w:rPr>
          <w:rFonts w:hint="eastAsia" w:ascii="方正小标宋_GBK" w:hAnsi="方正小标宋_GBK" w:eastAsia="方正小标宋_GBK" w:cs="方正小标宋_GBK"/>
          <w:b w:val="0"/>
          <w:bCs w:val="0"/>
          <w:sz w:val="44"/>
          <w:szCs w:val="44"/>
          <w:highlight w:val="none"/>
          <w:lang w:val="en-US" w:eastAsia="zh-CN"/>
        </w:rPr>
      </w:pPr>
      <w:bookmarkStart w:id="0" w:name="_GoBack"/>
      <w:r>
        <w:rPr>
          <w:rFonts w:hint="eastAsia" w:ascii="方正小标宋简体" w:hAnsi="方正小标宋简体" w:eastAsia="方正小标宋简体" w:cs="方正小标宋简体"/>
          <w:sz w:val="40"/>
          <w:szCs w:val="40"/>
          <w:highlight w:val="none"/>
          <w:lang w:val="en-US" w:eastAsia="zh-CN"/>
        </w:rPr>
        <w:t>本溪市殡葬服务非基础项目清单</w:t>
      </w:r>
    </w:p>
    <w:bookmarkEnd w:id="0"/>
    <w:p w14:paraId="2D93D969">
      <w:pPr>
        <w:pStyle w:val="6"/>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baseline"/>
        <w:rPr>
          <w:rFonts w:hint="eastAsia" w:ascii="CESI楷体-GB2312" w:hAnsi="CESI楷体-GB2312" w:eastAsia="CESI楷体-GB2312" w:cs="CESI楷体-GB2312"/>
          <w:b w:val="0"/>
          <w:bCs w:val="0"/>
          <w:sz w:val="32"/>
          <w:szCs w:val="32"/>
          <w:highlight w:val="none"/>
          <w:lang w:val="en-US" w:eastAsia="zh-CN"/>
        </w:rPr>
      </w:pPr>
      <w:r>
        <w:rPr>
          <w:rFonts w:hint="eastAsia" w:ascii="CESI楷体-GB2312" w:hAnsi="CESI楷体-GB2312" w:eastAsia="CESI楷体-GB2312" w:cs="CESI楷体-GB2312"/>
          <w:b w:val="0"/>
          <w:bCs w:val="0"/>
          <w:sz w:val="32"/>
          <w:szCs w:val="32"/>
          <w:highlight w:val="none"/>
          <w:lang w:val="en-US" w:eastAsia="zh-CN"/>
        </w:rPr>
        <w:t>（调研稿）</w:t>
      </w: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63"/>
        <w:gridCol w:w="1216"/>
        <w:gridCol w:w="6077"/>
        <w:gridCol w:w="766"/>
      </w:tblGrid>
      <w:tr w14:paraId="5C7B4C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66" w:type="dxa"/>
            <w:tcBorders>
              <w:tl2br w:val="nil"/>
              <w:tr2bl w:val="nil"/>
            </w:tcBorders>
            <w:noWrap w:val="0"/>
            <w:vAlign w:val="center"/>
          </w:tcPr>
          <w:p w14:paraId="60BE90E2">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黑体" w:hAnsi="黑体" w:eastAsia="黑体" w:cs="黑体"/>
                <w:sz w:val="21"/>
                <w:szCs w:val="21"/>
                <w:vertAlign w:val="baseline"/>
                <w:lang w:val="en-US" w:eastAsia="zh-CN"/>
              </w:rPr>
            </w:pPr>
            <w:r>
              <w:rPr>
                <w:rFonts w:hint="eastAsia" w:ascii="黑体" w:hAnsi="黑体" w:eastAsia="黑体" w:cs="黑体"/>
                <w:sz w:val="21"/>
                <w:szCs w:val="21"/>
                <w:lang w:val="en-US" w:eastAsia="zh-CN"/>
              </w:rPr>
              <w:t>序号</w:t>
            </w:r>
            <w:r>
              <w:rPr>
                <w:rFonts w:hint="eastAsia" w:ascii="黑体" w:hAnsi="黑体" w:eastAsia="黑体" w:cs="黑体"/>
                <w:sz w:val="21"/>
                <w:szCs w:val="21"/>
                <w:lang w:val="en-US" w:eastAsia="zh-CN"/>
              </w:rPr>
              <w:br w:type="page"/>
            </w:r>
          </w:p>
        </w:tc>
        <w:tc>
          <w:tcPr>
            <w:tcW w:w="1267" w:type="dxa"/>
            <w:tcBorders>
              <w:tl2br w:val="nil"/>
              <w:tr2bl w:val="nil"/>
            </w:tcBorders>
            <w:noWrap w:val="0"/>
            <w:vAlign w:val="center"/>
          </w:tcPr>
          <w:p w14:paraId="53AA946A">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服务项目</w:t>
            </w:r>
          </w:p>
        </w:tc>
        <w:tc>
          <w:tcPr>
            <w:tcW w:w="6533" w:type="dxa"/>
            <w:tcBorders>
              <w:tl2br w:val="nil"/>
              <w:tr2bl w:val="nil"/>
            </w:tcBorders>
            <w:noWrap w:val="0"/>
            <w:vAlign w:val="center"/>
          </w:tcPr>
          <w:p w14:paraId="421CD693">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服务内容及标准</w:t>
            </w:r>
          </w:p>
        </w:tc>
        <w:tc>
          <w:tcPr>
            <w:tcW w:w="795" w:type="dxa"/>
            <w:tcBorders>
              <w:tl2br w:val="nil"/>
              <w:tr2bl w:val="nil"/>
            </w:tcBorders>
            <w:noWrap w:val="0"/>
            <w:vAlign w:val="center"/>
          </w:tcPr>
          <w:p w14:paraId="6F6DFB66">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计价</w:t>
            </w:r>
          </w:p>
          <w:p w14:paraId="4FE0B274">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方式</w:t>
            </w:r>
          </w:p>
        </w:tc>
      </w:tr>
      <w:tr w14:paraId="344BB3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0002B037">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w:t>
            </w:r>
          </w:p>
        </w:tc>
        <w:tc>
          <w:tcPr>
            <w:tcW w:w="1267" w:type="dxa"/>
            <w:tcBorders>
              <w:tl2br w:val="nil"/>
              <w:tr2bl w:val="nil"/>
            </w:tcBorders>
            <w:noWrap w:val="0"/>
            <w:vAlign w:val="center"/>
          </w:tcPr>
          <w:p w14:paraId="4E791112">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守灵间</w:t>
            </w:r>
          </w:p>
          <w:p w14:paraId="43837DAE">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租赁服务</w:t>
            </w:r>
          </w:p>
        </w:tc>
        <w:tc>
          <w:tcPr>
            <w:tcW w:w="6533" w:type="dxa"/>
            <w:tcBorders>
              <w:tl2br w:val="nil"/>
              <w:tr2bl w:val="nil"/>
            </w:tcBorders>
            <w:noWrap w:val="0"/>
            <w:vAlign w:val="center"/>
          </w:tcPr>
          <w:p w14:paraId="305F3B74">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遗体告别前，为丧属提供的集中祭奠、陪伴守夜、亲属接待的</w:t>
            </w:r>
            <w:r>
              <w:rPr>
                <w:rFonts w:hint="eastAsia" w:ascii="仿宋_GB2312" w:hAnsi="仿宋_GB2312" w:eastAsia="仿宋_GB2312" w:cs="仿宋_GB2312"/>
                <w:sz w:val="21"/>
                <w:szCs w:val="21"/>
                <w:vertAlign w:val="baseline"/>
                <w:lang w:val="en-US" w:eastAsia="zh-CN"/>
              </w:rPr>
              <w:t>场地、设施租赁</w:t>
            </w:r>
            <w:r>
              <w:rPr>
                <w:rFonts w:hint="default" w:ascii="仿宋_GB2312" w:hAnsi="仿宋_GB2312" w:eastAsia="仿宋_GB2312" w:cs="仿宋_GB2312"/>
                <w:sz w:val="21"/>
                <w:szCs w:val="21"/>
                <w:vertAlign w:val="baseline"/>
                <w:lang w:val="en-US" w:eastAsia="zh-CN"/>
              </w:rPr>
              <w:t>服务</w:t>
            </w:r>
            <w:r>
              <w:rPr>
                <w:rFonts w:hint="eastAsia" w:ascii="仿宋_GB2312" w:hAnsi="仿宋_GB2312" w:eastAsia="仿宋_GB2312" w:cs="仿宋_GB2312"/>
                <w:sz w:val="21"/>
                <w:szCs w:val="21"/>
                <w:vertAlign w:val="baseline"/>
                <w:lang w:val="en-US" w:eastAsia="zh-CN"/>
              </w:rPr>
              <w:t>，包括但不限于场地及音响、冷藏柜、绢花、花圈、供台、电子屏、桌椅床、饮水、垃圾处理等基础服务。</w:t>
            </w:r>
          </w:p>
          <w:p w14:paraId="745B0A27">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天收费。根据场地面积及设施不同，设置1-4档收费区间。不足24小时按1天计费。超出24小时不满36小时，按1.5天计费，超出36小时不满48小时，按2天计费，以此类推。计费时间以遗体安放至冷藏柜内起算，至遗体离开房间为止。</w:t>
            </w:r>
          </w:p>
        </w:tc>
        <w:tc>
          <w:tcPr>
            <w:tcW w:w="795" w:type="dxa"/>
            <w:tcBorders>
              <w:tl2br w:val="nil"/>
              <w:tr2bl w:val="nil"/>
            </w:tcBorders>
            <w:noWrap w:val="0"/>
            <w:vAlign w:val="center"/>
          </w:tcPr>
          <w:p w14:paraId="001AE32C">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元/天</w:t>
            </w:r>
          </w:p>
        </w:tc>
      </w:tr>
      <w:tr w14:paraId="68146D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6D423436">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w:t>
            </w:r>
          </w:p>
        </w:tc>
        <w:tc>
          <w:tcPr>
            <w:tcW w:w="1267" w:type="dxa"/>
            <w:tcBorders>
              <w:tl2br w:val="nil"/>
              <w:tr2bl w:val="nil"/>
            </w:tcBorders>
            <w:noWrap w:val="0"/>
            <w:vAlign w:val="center"/>
          </w:tcPr>
          <w:p w14:paraId="11D02ECE">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冰柜遗体</w:t>
            </w:r>
          </w:p>
          <w:p w14:paraId="0655A731">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祭祀场地</w:t>
            </w:r>
          </w:p>
          <w:p w14:paraId="6F331A07">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租赁服务</w:t>
            </w:r>
          </w:p>
        </w:tc>
        <w:tc>
          <w:tcPr>
            <w:tcW w:w="6533" w:type="dxa"/>
            <w:tcBorders>
              <w:tl2br w:val="nil"/>
              <w:tr2bl w:val="nil"/>
            </w:tcBorders>
            <w:noWrap w:val="0"/>
            <w:vAlign w:val="center"/>
          </w:tcPr>
          <w:p w14:paraId="2E65BF3A">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遗体告别前，为丧属提供的</w:t>
            </w:r>
            <w:r>
              <w:rPr>
                <w:rFonts w:hint="eastAsia" w:ascii="仿宋_GB2312" w:hAnsi="仿宋_GB2312" w:eastAsia="仿宋_GB2312" w:cs="仿宋_GB2312"/>
                <w:sz w:val="21"/>
                <w:szCs w:val="21"/>
                <w:vertAlign w:val="baseline"/>
                <w:lang w:val="en-US" w:eastAsia="zh-CN"/>
              </w:rPr>
              <w:t>临时祭祀场地、设施租赁</w:t>
            </w:r>
            <w:r>
              <w:rPr>
                <w:rFonts w:hint="default" w:ascii="仿宋_GB2312" w:hAnsi="仿宋_GB2312" w:eastAsia="仿宋_GB2312" w:cs="仿宋_GB2312"/>
                <w:sz w:val="21"/>
                <w:szCs w:val="21"/>
                <w:vertAlign w:val="baseline"/>
                <w:lang w:val="en-US" w:eastAsia="zh-CN"/>
              </w:rPr>
              <w:t>服务</w:t>
            </w:r>
            <w:r>
              <w:rPr>
                <w:rFonts w:hint="eastAsia" w:ascii="仿宋_GB2312" w:hAnsi="仿宋_GB2312" w:eastAsia="仿宋_GB2312" w:cs="仿宋_GB2312"/>
                <w:sz w:val="21"/>
                <w:szCs w:val="21"/>
                <w:vertAlign w:val="baseline"/>
                <w:lang w:val="en-US" w:eastAsia="zh-CN"/>
              </w:rPr>
              <w:t>，包括但不限于场地及供台、绢花、花圈等基础服务。</w:t>
            </w:r>
          </w:p>
          <w:p w14:paraId="0EF6F53C">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按次收费。</w:t>
            </w:r>
            <w:r>
              <w:rPr>
                <w:rFonts w:hint="default" w:ascii="仿宋_GB2312" w:hAnsi="仿宋_GB2312" w:eastAsia="仿宋_GB2312" w:cs="仿宋_GB2312"/>
                <w:sz w:val="21"/>
                <w:szCs w:val="21"/>
                <w:vertAlign w:val="baseline"/>
                <w:lang w:val="en-US" w:eastAsia="zh-CN"/>
              </w:rPr>
              <w:t>此费用只针对进入冰柜的遗体收取</w:t>
            </w:r>
            <w:r>
              <w:rPr>
                <w:rFonts w:hint="eastAsia" w:ascii="仿宋_GB2312" w:hAnsi="仿宋_GB2312" w:eastAsia="仿宋_GB2312" w:cs="仿宋_GB2312"/>
                <w:sz w:val="21"/>
                <w:szCs w:val="21"/>
                <w:vertAlign w:val="baseline"/>
                <w:lang w:val="en-US" w:eastAsia="zh-CN"/>
              </w:rPr>
              <w:t>，</w:t>
            </w:r>
            <w:r>
              <w:rPr>
                <w:rFonts w:hint="default" w:ascii="仿宋_GB2312" w:hAnsi="仿宋_GB2312" w:eastAsia="仿宋_GB2312" w:cs="仿宋_GB2312"/>
                <w:sz w:val="21"/>
                <w:szCs w:val="21"/>
                <w:vertAlign w:val="baseline"/>
                <w:lang w:val="en-US" w:eastAsia="zh-CN"/>
              </w:rPr>
              <w:t>进入</w:t>
            </w:r>
            <w:r>
              <w:rPr>
                <w:rFonts w:hint="eastAsia" w:ascii="仿宋_GB2312" w:hAnsi="仿宋_GB2312" w:eastAsia="仿宋_GB2312" w:cs="仿宋_GB2312"/>
                <w:sz w:val="21"/>
                <w:szCs w:val="21"/>
                <w:vertAlign w:val="baseline"/>
                <w:lang w:val="en-US" w:eastAsia="zh-CN"/>
              </w:rPr>
              <w:t>守灵间</w:t>
            </w:r>
            <w:r>
              <w:rPr>
                <w:rFonts w:hint="default" w:ascii="仿宋_GB2312" w:hAnsi="仿宋_GB2312" w:eastAsia="仿宋_GB2312" w:cs="仿宋_GB2312"/>
                <w:sz w:val="21"/>
                <w:szCs w:val="21"/>
                <w:vertAlign w:val="baseline"/>
                <w:lang w:val="en-US" w:eastAsia="zh-CN"/>
              </w:rPr>
              <w:t>的遗体</w:t>
            </w:r>
            <w:r>
              <w:rPr>
                <w:rFonts w:hint="eastAsia" w:ascii="仿宋_GB2312" w:hAnsi="仿宋_GB2312" w:eastAsia="仿宋_GB2312" w:cs="仿宋_GB2312"/>
                <w:sz w:val="21"/>
                <w:szCs w:val="21"/>
                <w:vertAlign w:val="baseline"/>
                <w:lang w:val="en-US" w:eastAsia="zh-CN"/>
              </w:rPr>
              <w:t>或遗体告别</w:t>
            </w:r>
            <w:r>
              <w:rPr>
                <w:rFonts w:hint="default" w:ascii="仿宋_GB2312" w:hAnsi="仿宋_GB2312" w:eastAsia="仿宋_GB2312" w:cs="仿宋_GB2312"/>
                <w:sz w:val="21"/>
                <w:szCs w:val="21"/>
                <w:vertAlign w:val="baseline"/>
                <w:lang w:val="en-US" w:eastAsia="zh-CN"/>
              </w:rPr>
              <w:t>不收取。</w:t>
            </w:r>
          </w:p>
        </w:tc>
        <w:tc>
          <w:tcPr>
            <w:tcW w:w="795" w:type="dxa"/>
            <w:tcBorders>
              <w:tl2br w:val="nil"/>
              <w:tr2bl w:val="nil"/>
            </w:tcBorders>
            <w:noWrap w:val="0"/>
            <w:vAlign w:val="center"/>
          </w:tcPr>
          <w:p w14:paraId="22425262">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元/次</w:t>
            </w:r>
          </w:p>
        </w:tc>
      </w:tr>
      <w:tr w14:paraId="2D5976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3256B742">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w:t>
            </w:r>
          </w:p>
        </w:tc>
        <w:tc>
          <w:tcPr>
            <w:tcW w:w="1267" w:type="dxa"/>
            <w:tcBorders>
              <w:tl2br w:val="nil"/>
              <w:tr2bl w:val="nil"/>
            </w:tcBorders>
            <w:noWrap w:val="0"/>
            <w:vAlign w:val="center"/>
          </w:tcPr>
          <w:p w14:paraId="1968706B">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遗物焚烧</w:t>
            </w:r>
          </w:p>
          <w:p w14:paraId="240DCA3F">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服务</w:t>
            </w:r>
          </w:p>
        </w:tc>
        <w:tc>
          <w:tcPr>
            <w:tcW w:w="6533" w:type="dxa"/>
            <w:tcBorders>
              <w:tl2br w:val="nil"/>
              <w:tr2bl w:val="nil"/>
            </w:tcBorders>
            <w:noWrap w:val="0"/>
            <w:vAlign w:val="center"/>
          </w:tcPr>
          <w:p w14:paraId="451CF838">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为丧属提供遗物焚烧场地及保障服务，包括但不限于提供逝者遗物、花圈等焚烧场地及消防安全、灰烬处理、污染气体处理等基础服务。</w:t>
            </w:r>
          </w:p>
          <w:p w14:paraId="229873FB">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按次收费。保证丧属一次性焚烧全部遗物。</w:t>
            </w:r>
          </w:p>
        </w:tc>
        <w:tc>
          <w:tcPr>
            <w:tcW w:w="795" w:type="dxa"/>
            <w:tcBorders>
              <w:tl2br w:val="nil"/>
              <w:tr2bl w:val="nil"/>
            </w:tcBorders>
            <w:noWrap w:val="0"/>
            <w:vAlign w:val="center"/>
          </w:tcPr>
          <w:p w14:paraId="46BFEC60">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元/次</w:t>
            </w:r>
          </w:p>
        </w:tc>
      </w:tr>
      <w:tr w14:paraId="796B95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2A3ABF26">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w:t>
            </w:r>
          </w:p>
        </w:tc>
        <w:tc>
          <w:tcPr>
            <w:tcW w:w="1267" w:type="dxa"/>
            <w:tcBorders>
              <w:tl2br w:val="nil"/>
              <w:tr2bl w:val="nil"/>
            </w:tcBorders>
            <w:noWrap w:val="0"/>
            <w:vAlign w:val="center"/>
          </w:tcPr>
          <w:p w14:paraId="6BB07858">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非工作时间殡葬服务</w:t>
            </w:r>
          </w:p>
        </w:tc>
        <w:tc>
          <w:tcPr>
            <w:tcW w:w="6533" w:type="dxa"/>
            <w:tcBorders>
              <w:tl2br w:val="nil"/>
              <w:tr2bl w:val="nil"/>
            </w:tcBorders>
            <w:noWrap w:val="0"/>
            <w:vAlign w:val="center"/>
          </w:tcPr>
          <w:p w14:paraId="54449F44">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sz w:val="21"/>
                <w:szCs w:val="21"/>
                <w:vertAlign w:val="baseline"/>
                <w:lang w:val="en-US" w:eastAsia="zh-CN"/>
              </w:rPr>
              <w:t>在非正常工作时间，为丧属提供遗体火化服务。</w:t>
            </w:r>
            <w:r>
              <w:rPr>
                <w:rFonts w:hint="eastAsia" w:ascii="仿宋_GB2312" w:hAnsi="仿宋_GB2312" w:eastAsia="仿宋_GB2312" w:cs="仿宋_GB2312"/>
                <w:color w:val="auto"/>
                <w:sz w:val="21"/>
                <w:szCs w:val="21"/>
                <w:highlight w:val="none"/>
                <w:vertAlign w:val="baseline"/>
                <w:lang w:val="en-US" w:eastAsia="zh-CN"/>
              </w:rPr>
              <w:t>具体非工作时间以对应殡仪服务中心为准。</w:t>
            </w:r>
          </w:p>
          <w:p w14:paraId="60403C1E">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按小时收费。以火化机启动开始计费，至完成骨灰装盒（袋）为止。不足1小时按1小时计费。</w:t>
            </w:r>
          </w:p>
        </w:tc>
        <w:tc>
          <w:tcPr>
            <w:tcW w:w="795" w:type="dxa"/>
            <w:tcBorders>
              <w:tl2br w:val="nil"/>
              <w:tr2bl w:val="nil"/>
            </w:tcBorders>
            <w:noWrap w:val="0"/>
            <w:vAlign w:val="center"/>
          </w:tcPr>
          <w:p w14:paraId="7CD32310">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highlight w:val="none"/>
                <w:vertAlign w:val="baseline"/>
                <w:lang w:val="en-US" w:eastAsia="zh-CN"/>
              </w:rPr>
            </w:pPr>
            <w:r>
              <w:rPr>
                <w:rFonts w:hint="default" w:ascii="仿宋_GB2312" w:hAnsi="仿宋_GB2312" w:eastAsia="仿宋_GB2312" w:cs="仿宋_GB2312"/>
                <w:w w:val="75"/>
                <w:sz w:val="21"/>
                <w:szCs w:val="21"/>
                <w:highlight w:val="none"/>
                <w:vertAlign w:val="baseline"/>
                <w:lang w:val="en-US" w:eastAsia="zh-CN"/>
              </w:rPr>
              <w:t>元/</w:t>
            </w:r>
            <w:r>
              <w:rPr>
                <w:rFonts w:hint="eastAsia" w:ascii="仿宋_GB2312" w:hAnsi="仿宋_GB2312" w:eastAsia="仿宋_GB2312" w:cs="仿宋_GB2312"/>
                <w:w w:val="75"/>
                <w:sz w:val="21"/>
                <w:szCs w:val="21"/>
                <w:highlight w:val="none"/>
                <w:vertAlign w:val="baseline"/>
                <w:lang w:val="en-US" w:eastAsia="zh-CN"/>
              </w:rPr>
              <w:t>小时</w:t>
            </w:r>
          </w:p>
        </w:tc>
      </w:tr>
      <w:tr w14:paraId="667BCA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313BF780">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5</w:t>
            </w:r>
          </w:p>
        </w:tc>
        <w:tc>
          <w:tcPr>
            <w:tcW w:w="1267" w:type="dxa"/>
            <w:tcBorders>
              <w:tl2br w:val="nil"/>
              <w:tr2bl w:val="nil"/>
            </w:tcBorders>
            <w:noWrap w:val="0"/>
            <w:vAlign w:val="center"/>
          </w:tcPr>
          <w:p w14:paraId="06596D52">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骨灰包盒</w:t>
            </w:r>
          </w:p>
          <w:p w14:paraId="3DF2392F">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服务</w:t>
            </w:r>
          </w:p>
        </w:tc>
        <w:tc>
          <w:tcPr>
            <w:tcW w:w="6533" w:type="dxa"/>
            <w:tcBorders>
              <w:tl2br w:val="nil"/>
              <w:tr2bl w:val="nil"/>
            </w:tcBorders>
            <w:noWrap w:val="0"/>
            <w:vAlign w:val="center"/>
          </w:tcPr>
          <w:p w14:paraId="660ED34E">
            <w:pPr>
              <w:pStyle w:val="6"/>
              <w:keepNext w:val="0"/>
              <w:keepLines w:val="0"/>
              <w:pageBreakBefore w:val="0"/>
              <w:widowControl w:val="0"/>
              <w:kinsoku/>
              <w:wordWrap/>
              <w:overflowPunct/>
              <w:topLinePunct w:val="0"/>
              <w:autoSpaceDE/>
              <w:autoSpaceDN/>
              <w:bidi w:val="0"/>
              <w:adjustRightInd/>
              <w:snapToGrid/>
              <w:spacing w:line="0" w:lineRule="atLeast"/>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为丧属提供骨灰盒包裹服务，包括但不限于骨灰盒包裹避光红布、免费提供塑料袋封装等基础服务。</w:t>
            </w:r>
          </w:p>
          <w:p w14:paraId="1BA759BA">
            <w:pPr>
              <w:pStyle w:val="6"/>
              <w:keepNext w:val="0"/>
              <w:keepLines w:val="0"/>
              <w:pageBreakBefore w:val="0"/>
              <w:widowControl w:val="0"/>
              <w:kinsoku/>
              <w:wordWrap/>
              <w:overflowPunct/>
              <w:topLinePunct w:val="0"/>
              <w:autoSpaceDE/>
              <w:autoSpaceDN/>
              <w:bidi w:val="0"/>
              <w:adjustRightInd/>
              <w:snapToGrid/>
              <w:spacing w:line="0" w:lineRule="atLeast"/>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按次收费。以完成骨灰盒包裹标准流程计费。</w:t>
            </w:r>
          </w:p>
        </w:tc>
        <w:tc>
          <w:tcPr>
            <w:tcW w:w="795" w:type="dxa"/>
            <w:tcBorders>
              <w:tl2br w:val="nil"/>
              <w:tr2bl w:val="nil"/>
            </w:tcBorders>
            <w:noWrap w:val="0"/>
            <w:vAlign w:val="center"/>
          </w:tcPr>
          <w:p w14:paraId="32139EAC">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元/次</w:t>
            </w:r>
          </w:p>
        </w:tc>
      </w:tr>
      <w:tr w14:paraId="3A08CA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6F438EA7">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6</w:t>
            </w:r>
          </w:p>
        </w:tc>
        <w:tc>
          <w:tcPr>
            <w:tcW w:w="1267" w:type="dxa"/>
            <w:tcBorders>
              <w:tl2br w:val="nil"/>
              <w:tr2bl w:val="nil"/>
            </w:tcBorders>
            <w:noWrap w:val="0"/>
            <w:vAlign w:val="center"/>
          </w:tcPr>
          <w:p w14:paraId="4DC8D03B">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处置室</w:t>
            </w:r>
          </w:p>
          <w:p w14:paraId="5E9AAC3F">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租赁服务</w:t>
            </w:r>
          </w:p>
        </w:tc>
        <w:tc>
          <w:tcPr>
            <w:tcW w:w="6533" w:type="dxa"/>
            <w:tcBorders>
              <w:tl2br w:val="nil"/>
              <w:tr2bl w:val="nil"/>
            </w:tcBorders>
            <w:noWrap w:val="0"/>
            <w:vAlign w:val="center"/>
          </w:tcPr>
          <w:p w14:paraId="610F33D4">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为公安机关或丧属提供检验遗体的场地、设施租赁服务，包括但不限于场地及检验遗体所需要的功能台、消毒、照明、通风等基础服务，不含遗体解剖设施设备。处置室不得用于遗体解剖检验。</w:t>
            </w:r>
          </w:p>
          <w:p w14:paraId="5A58B661">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按次收费。以完成遗体检验、遗体推出处置室计费。</w:t>
            </w:r>
          </w:p>
        </w:tc>
        <w:tc>
          <w:tcPr>
            <w:tcW w:w="795" w:type="dxa"/>
            <w:tcBorders>
              <w:tl2br w:val="nil"/>
              <w:tr2bl w:val="nil"/>
            </w:tcBorders>
            <w:noWrap w:val="0"/>
            <w:vAlign w:val="center"/>
          </w:tcPr>
          <w:p w14:paraId="553EB649">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元/次</w:t>
            </w:r>
          </w:p>
        </w:tc>
      </w:tr>
      <w:tr w14:paraId="5773C0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2F4A8482">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7</w:t>
            </w:r>
          </w:p>
        </w:tc>
        <w:tc>
          <w:tcPr>
            <w:tcW w:w="1267" w:type="dxa"/>
            <w:tcBorders>
              <w:tl2br w:val="nil"/>
              <w:tr2bl w:val="nil"/>
            </w:tcBorders>
            <w:noWrap w:val="0"/>
            <w:vAlign w:val="center"/>
          </w:tcPr>
          <w:p w14:paraId="1E1C9B4F">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逝者遗物</w:t>
            </w:r>
          </w:p>
          <w:p w14:paraId="36BC48AA">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寄存服务</w:t>
            </w:r>
          </w:p>
        </w:tc>
        <w:tc>
          <w:tcPr>
            <w:tcW w:w="6533" w:type="dxa"/>
            <w:tcBorders>
              <w:tl2br w:val="nil"/>
              <w:tr2bl w:val="nil"/>
            </w:tcBorders>
            <w:noWrap w:val="0"/>
            <w:vAlign w:val="center"/>
          </w:tcPr>
          <w:p w14:paraId="3D67A4C4">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为公安机关或丧属提供逝者遗物寄存服务，包括但不限于场地及锁具、消毒、安防等基础服务。</w:t>
            </w:r>
          </w:p>
          <w:p w14:paraId="3A48C68A">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按次收费。以逝者遗物全部取出计费。</w:t>
            </w:r>
          </w:p>
        </w:tc>
        <w:tc>
          <w:tcPr>
            <w:tcW w:w="795" w:type="dxa"/>
            <w:tcBorders>
              <w:tl2br w:val="nil"/>
              <w:tr2bl w:val="nil"/>
            </w:tcBorders>
            <w:noWrap w:val="0"/>
            <w:vAlign w:val="center"/>
          </w:tcPr>
          <w:p w14:paraId="3E583EDF">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元/次</w:t>
            </w:r>
          </w:p>
        </w:tc>
      </w:tr>
      <w:tr w14:paraId="7214A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2BD78085">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8</w:t>
            </w:r>
          </w:p>
        </w:tc>
        <w:tc>
          <w:tcPr>
            <w:tcW w:w="1267" w:type="dxa"/>
            <w:tcBorders>
              <w:tl2br w:val="nil"/>
              <w:tr2bl w:val="nil"/>
            </w:tcBorders>
            <w:noWrap w:val="0"/>
            <w:vAlign w:val="center"/>
          </w:tcPr>
          <w:p w14:paraId="16E3B694">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穿衣服务</w:t>
            </w:r>
          </w:p>
        </w:tc>
        <w:tc>
          <w:tcPr>
            <w:tcW w:w="6533" w:type="dxa"/>
            <w:tcBorders>
              <w:tl2br w:val="nil"/>
              <w:tr2bl w:val="nil"/>
            </w:tcBorders>
            <w:noWrap w:val="0"/>
            <w:vAlign w:val="center"/>
          </w:tcPr>
          <w:p w14:paraId="56BD3EE2">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丧属意愿，为遗体提供穿衣服务。包括但限于为遗体脱去原有衣服、为遗体穿上丧属准备的衣服以及提供一般的遗体清洁等基础服务，不含遗体整容服务。若存在大量污秽物、血渍等，则需一次性加收相应费用。此服务仅限于正常死亡尚未腐烂变形遗体。</w:t>
            </w:r>
          </w:p>
          <w:p w14:paraId="293FD7FB">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按服务单具遗体收费。以完成遗体穿衣标准流程计费。</w:t>
            </w:r>
          </w:p>
        </w:tc>
        <w:tc>
          <w:tcPr>
            <w:tcW w:w="795" w:type="dxa"/>
            <w:tcBorders>
              <w:tl2br w:val="nil"/>
              <w:tr2bl w:val="nil"/>
            </w:tcBorders>
            <w:noWrap w:val="0"/>
            <w:vAlign w:val="center"/>
          </w:tcPr>
          <w:p w14:paraId="7BFEDA78">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元/</w:t>
            </w:r>
            <w:r>
              <w:rPr>
                <w:rFonts w:hint="eastAsia" w:ascii="仿宋_GB2312" w:hAnsi="仿宋_GB2312" w:eastAsia="仿宋_GB2312" w:cs="仿宋_GB2312"/>
                <w:sz w:val="21"/>
                <w:szCs w:val="21"/>
                <w:vertAlign w:val="baseline"/>
                <w:lang w:val="en-US" w:eastAsia="zh-CN"/>
              </w:rPr>
              <w:t>具</w:t>
            </w:r>
          </w:p>
        </w:tc>
      </w:tr>
      <w:tr w14:paraId="682F1D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70C70325">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9</w:t>
            </w:r>
          </w:p>
        </w:tc>
        <w:tc>
          <w:tcPr>
            <w:tcW w:w="1267" w:type="dxa"/>
            <w:tcBorders>
              <w:tl2br w:val="nil"/>
              <w:tr2bl w:val="nil"/>
            </w:tcBorders>
            <w:noWrap w:val="0"/>
            <w:vAlign w:val="center"/>
          </w:tcPr>
          <w:p w14:paraId="3C9AEE06">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殡仪仪式</w:t>
            </w:r>
          </w:p>
          <w:p w14:paraId="6C77A76D">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服务</w:t>
            </w:r>
          </w:p>
          <w:p w14:paraId="197C1C1B">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（主持人）</w:t>
            </w:r>
          </w:p>
        </w:tc>
        <w:tc>
          <w:tcPr>
            <w:tcW w:w="6533" w:type="dxa"/>
            <w:tcBorders>
              <w:tl2br w:val="nil"/>
              <w:tr2bl w:val="nil"/>
            </w:tcBorders>
            <w:noWrap w:val="0"/>
            <w:vAlign w:val="center"/>
          </w:tcPr>
          <w:p w14:paraId="26ECCDD4">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为丧属提供殡仪仪式主持服务，包括但不限于仪式场地布置指引、仪式流程指引、缴费指引及其他业务办理指引等基础服务，不代缴费用，不代采购祭祀用品，不代办业务。</w:t>
            </w:r>
          </w:p>
          <w:p w14:paraId="6CA4A1BB">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按次收费。以协助丧属完成殡仪馆内治丧事务办理计费。</w:t>
            </w:r>
          </w:p>
        </w:tc>
        <w:tc>
          <w:tcPr>
            <w:tcW w:w="795" w:type="dxa"/>
            <w:tcBorders>
              <w:tl2br w:val="nil"/>
              <w:tr2bl w:val="nil"/>
            </w:tcBorders>
            <w:noWrap w:val="0"/>
            <w:vAlign w:val="center"/>
          </w:tcPr>
          <w:p w14:paraId="02B94AA4">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元/次</w:t>
            </w:r>
          </w:p>
        </w:tc>
      </w:tr>
    </w:tbl>
    <w:p w14:paraId="0328AC28">
      <w:pPr>
        <w:pStyle w:val="6"/>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left"/>
        <w:textAlignment w:val="baseline"/>
        <w:rPr>
          <w:rFonts w:hint="eastAsia" w:ascii="黑体" w:hAnsi="黑体" w:eastAsia="黑体" w:cs="黑体"/>
          <w:b w:val="0"/>
          <w:bCs w:val="0"/>
          <w:sz w:val="32"/>
          <w:szCs w:val="32"/>
          <w:highlight w:val="none"/>
          <w:lang w:val="en-US" w:eastAsia="zh-CN"/>
        </w:rPr>
      </w:pPr>
    </w:p>
    <w:p w14:paraId="53ECF18B">
      <w:pPr>
        <w:pStyle w:val="6"/>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left"/>
        <w:textAlignment w:val="baseline"/>
        <w:rPr>
          <w:rFonts w:hint="eastAsia" w:ascii="黑体" w:hAnsi="黑体" w:eastAsia="黑体" w:cs="黑体"/>
          <w:b w:val="0"/>
          <w:bCs w:val="0"/>
          <w:sz w:val="32"/>
          <w:szCs w:val="32"/>
          <w:highlight w:val="none"/>
          <w:lang w:val="en-US" w:eastAsia="zh-CN"/>
        </w:rPr>
      </w:pP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62"/>
        <w:gridCol w:w="1216"/>
        <w:gridCol w:w="6079"/>
        <w:gridCol w:w="765"/>
      </w:tblGrid>
      <w:tr w14:paraId="32FA32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466" w:type="dxa"/>
            <w:tcBorders>
              <w:tl2br w:val="nil"/>
              <w:tr2bl w:val="nil"/>
            </w:tcBorders>
            <w:noWrap w:val="0"/>
            <w:vAlign w:val="center"/>
          </w:tcPr>
          <w:p w14:paraId="5AE79400">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黑体" w:hAnsi="黑体" w:eastAsia="黑体" w:cs="黑体"/>
                <w:sz w:val="21"/>
                <w:szCs w:val="21"/>
                <w:vertAlign w:val="baseline"/>
                <w:lang w:val="en-US" w:eastAsia="zh-CN"/>
              </w:rPr>
            </w:pPr>
            <w:r>
              <w:rPr>
                <w:rFonts w:hint="eastAsia" w:ascii="黑体" w:hAnsi="黑体" w:eastAsia="黑体" w:cs="黑体"/>
                <w:sz w:val="21"/>
                <w:szCs w:val="21"/>
                <w:lang w:val="en-US" w:eastAsia="zh-CN"/>
              </w:rPr>
              <w:t>序号</w:t>
            </w:r>
            <w:r>
              <w:rPr>
                <w:rFonts w:hint="eastAsia" w:ascii="黑体" w:hAnsi="黑体" w:eastAsia="黑体" w:cs="黑体"/>
                <w:sz w:val="21"/>
                <w:szCs w:val="21"/>
                <w:lang w:val="en-US" w:eastAsia="zh-CN"/>
              </w:rPr>
              <w:br w:type="page"/>
            </w:r>
          </w:p>
        </w:tc>
        <w:tc>
          <w:tcPr>
            <w:tcW w:w="1267" w:type="dxa"/>
            <w:tcBorders>
              <w:tl2br w:val="nil"/>
              <w:tr2bl w:val="nil"/>
            </w:tcBorders>
            <w:noWrap w:val="0"/>
            <w:vAlign w:val="center"/>
          </w:tcPr>
          <w:p w14:paraId="4EC3FD58">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服务项目</w:t>
            </w:r>
          </w:p>
        </w:tc>
        <w:tc>
          <w:tcPr>
            <w:tcW w:w="6533" w:type="dxa"/>
            <w:tcBorders>
              <w:tl2br w:val="nil"/>
              <w:tr2bl w:val="nil"/>
            </w:tcBorders>
            <w:noWrap w:val="0"/>
            <w:vAlign w:val="center"/>
          </w:tcPr>
          <w:p w14:paraId="79F19CA6">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服务内容及标准</w:t>
            </w:r>
          </w:p>
        </w:tc>
        <w:tc>
          <w:tcPr>
            <w:tcW w:w="795" w:type="dxa"/>
            <w:tcBorders>
              <w:tl2br w:val="nil"/>
              <w:tr2bl w:val="nil"/>
            </w:tcBorders>
            <w:noWrap w:val="0"/>
            <w:vAlign w:val="center"/>
          </w:tcPr>
          <w:p w14:paraId="07E19862">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计价</w:t>
            </w:r>
          </w:p>
          <w:p w14:paraId="64BCEECD">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方式</w:t>
            </w:r>
          </w:p>
        </w:tc>
      </w:tr>
      <w:tr w14:paraId="47C1BC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0B6CE582">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10</w:t>
            </w:r>
          </w:p>
        </w:tc>
        <w:tc>
          <w:tcPr>
            <w:tcW w:w="1267" w:type="dxa"/>
            <w:tcBorders>
              <w:tl2br w:val="nil"/>
              <w:tr2bl w:val="nil"/>
            </w:tcBorders>
            <w:noWrap w:val="0"/>
            <w:vAlign w:val="center"/>
          </w:tcPr>
          <w:p w14:paraId="7636F76B">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净面服务</w:t>
            </w:r>
          </w:p>
        </w:tc>
        <w:tc>
          <w:tcPr>
            <w:tcW w:w="6533" w:type="dxa"/>
            <w:tcBorders>
              <w:tl2br w:val="nil"/>
              <w:tr2bl w:val="nil"/>
            </w:tcBorders>
            <w:noWrap w:val="0"/>
            <w:vAlign w:val="center"/>
          </w:tcPr>
          <w:p w14:paraId="60D64EDC">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为遗体面部提供清洁服务。包括但不限于为遗体清洁面部污迹（血渍、呕吐物等）、剃须等服务，是“遗体告别”“遗体整容”所涉及的面部清洁、口眼闭合、发型服饰整理和化妆、发型制作的延伸服务，仅针对面部有严重污秽物或浓密胡须。</w:t>
            </w:r>
          </w:p>
          <w:p w14:paraId="53FF3B49">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按次收费。以完成面部清洁和剃须计费。</w:t>
            </w:r>
          </w:p>
        </w:tc>
        <w:tc>
          <w:tcPr>
            <w:tcW w:w="795" w:type="dxa"/>
            <w:tcBorders>
              <w:tl2br w:val="nil"/>
              <w:tr2bl w:val="nil"/>
            </w:tcBorders>
            <w:noWrap w:val="0"/>
            <w:vAlign w:val="center"/>
          </w:tcPr>
          <w:p w14:paraId="48DB13E9">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元/次</w:t>
            </w:r>
          </w:p>
        </w:tc>
      </w:tr>
      <w:tr w14:paraId="533F8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6A9CA5D8">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11</w:t>
            </w:r>
          </w:p>
        </w:tc>
        <w:tc>
          <w:tcPr>
            <w:tcW w:w="1267" w:type="dxa"/>
            <w:tcBorders>
              <w:tl2br w:val="nil"/>
              <w:tr2bl w:val="nil"/>
            </w:tcBorders>
            <w:noWrap w:val="0"/>
            <w:vAlign w:val="center"/>
          </w:tcPr>
          <w:p w14:paraId="736FC6D0">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遗体长时间存放服务</w:t>
            </w:r>
          </w:p>
        </w:tc>
        <w:tc>
          <w:tcPr>
            <w:tcW w:w="6533" w:type="dxa"/>
            <w:tcBorders>
              <w:tl2br w:val="nil"/>
              <w:tr2bl w:val="nil"/>
            </w:tcBorders>
            <w:noWrap w:val="0"/>
            <w:vAlign w:val="center"/>
          </w:tcPr>
          <w:p w14:paraId="216E1DFD">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当丧属需要存放遗体超出基础项目中“遗体存放”所规定的基础时长时，为丧属继续提供遗体存放服务。服务标准保持不变。</w:t>
            </w:r>
          </w:p>
          <w:p w14:paraId="6C7E3B13">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按天收费。超出基础时长后，不足24小时按1天计费。超出24小时不满36小时，按1.5天计费，超出36小时不满48小时，按2天计费，以此类推。存放时间超出7天后，超出时间价格按XX%计费。</w:t>
            </w:r>
          </w:p>
        </w:tc>
        <w:tc>
          <w:tcPr>
            <w:tcW w:w="795" w:type="dxa"/>
            <w:tcBorders>
              <w:tl2br w:val="nil"/>
              <w:tr2bl w:val="nil"/>
            </w:tcBorders>
            <w:noWrap w:val="0"/>
            <w:vAlign w:val="center"/>
          </w:tcPr>
          <w:p w14:paraId="40EAD18D">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元/</w:t>
            </w:r>
            <w:r>
              <w:rPr>
                <w:rFonts w:hint="eastAsia" w:ascii="仿宋_GB2312" w:hAnsi="仿宋_GB2312" w:eastAsia="仿宋_GB2312" w:cs="仿宋_GB2312"/>
                <w:sz w:val="21"/>
                <w:szCs w:val="21"/>
                <w:vertAlign w:val="baseline"/>
                <w:lang w:val="en-US" w:eastAsia="zh-CN"/>
              </w:rPr>
              <w:t>天</w:t>
            </w:r>
          </w:p>
        </w:tc>
      </w:tr>
      <w:tr w14:paraId="61C849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62A82D7F">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12</w:t>
            </w:r>
          </w:p>
        </w:tc>
        <w:tc>
          <w:tcPr>
            <w:tcW w:w="1267" w:type="dxa"/>
            <w:tcBorders>
              <w:tl2br w:val="nil"/>
              <w:tr2bl w:val="nil"/>
            </w:tcBorders>
            <w:noWrap w:val="0"/>
            <w:vAlign w:val="center"/>
          </w:tcPr>
          <w:p w14:paraId="735EBB1B">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遗体</w:t>
            </w:r>
            <w:r>
              <w:rPr>
                <w:rFonts w:hint="eastAsia" w:ascii="仿宋_GB2312" w:hAnsi="仿宋_GB2312" w:eastAsia="仿宋_GB2312" w:cs="仿宋_GB2312"/>
                <w:sz w:val="21"/>
                <w:szCs w:val="21"/>
                <w:vertAlign w:val="baseline"/>
                <w:lang w:val="en-US" w:eastAsia="zh-CN"/>
              </w:rPr>
              <w:t>市县间、两县间</w:t>
            </w:r>
            <w:r>
              <w:rPr>
                <w:rFonts w:hint="default" w:ascii="仿宋_GB2312" w:hAnsi="仿宋_GB2312" w:eastAsia="仿宋_GB2312" w:cs="仿宋_GB2312"/>
                <w:sz w:val="21"/>
                <w:szCs w:val="21"/>
                <w:vertAlign w:val="baseline"/>
                <w:lang w:val="en-US" w:eastAsia="zh-CN"/>
              </w:rPr>
              <w:t>接运</w:t>
            </w:r>
          </w:p>
        </w:tc>
        <w:tc>
          <w:tcPr>
            <w:tcW w:w="6533" w:type="dxa"/>
            <w:tcBorders>
              <w:tl2br w:val="nil"/>
              <w:tr2bl w:val="nil"/>
            </w:tcBorders>
            <w:noWrap w:val="0"/>
            <w:vAlign w:val="center"/>
          </w:tcPr>
          <w:p w14:paraId="13CFE7C8">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从市殡仪服务中心、本溪县殡仪服务中心、桓仁县殡仪服务中心、南芬区殡葬服务中心或其他指定地点将遗体接运至本市其他殡仪服务中心所产生的交通运输费用。</w:t>
            </w:r>
          </w:p>
          <w:p w14:paraId="5D644E30">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按次收费。以单次运送单具遗体计费，不得同时运输2具（含）以上遗体。若途经高速、发生绕行等情况，不加收任何费用。丧属同乘不加收任何费用，但不得超载。</w:t>
            </w:r>
          </w:p>
        </w:tc>
        <w:tc>
          <w:tcPr>
            <w:tcW w:w="795" w:type="dxa"/>
            <w:tcBorders>
              <w:tl2br w:val="nil"/>
              <w:tr2bl w:val="nil"/>
            </w:tcBorders>
            <w:noWrap w:val="0"/>
            <w:vAlign w:val="center"/>
          </w:tcPr>
          <w:p w14:paraId="1376557D">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元/次</w:t>
            </w:r>
          </w:p>
        </w:tc>
      </w:tr>
      <w:tr w14:paraId="7AA2D6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367B224F">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13</w:t>
            </w:r>
          </w:p>
        </w:tc>
        <w:tc>
          <w:tcPr>
            <w:tcW w:w="1267" w:type="dxa"/>
            <w:tcBorders>
              <w:tl2br w:val="nil"/>
              <w:tr2bl w:val="nil"/>
            </w:tcBorders>
            <w:noWrap w:val="0"/>
            <w:vAlign w:val="center"/>
          </w:tcPr>
          <w:p w14:paraId="15F3599B">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遗体外市</w:t>
            </w:r>
          </w:p>
          <w:p w14:paraId="1ECBCB15">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接运</w:t>
            </w:r>
          </w:p>
        </w:tc>
        <w:tc>
          <w:tcPr>
            <w:tcW w:w="6533" w:type="dxa"/>
            <w:tcBorders>
              <w:tl2br w:val="nil"/>
              <w:tr2bl w:val="nil"/>
            </w:tcBorders>
            <w:noWrap w:val="0"/>
            <w:vAlign w:val="center"/>
          </w:tcPr>
          <w:p w14:paraId="11FD6BA6">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从市殡仪服务中心、本溪县殡仪服务中心、桓仁县殡仪服务中心、南芬区殡葬服务中心将遗体运送至外市殡仪服务中心或由外市接回至本市任意1家殡仪服务中心，所产生的交通运输费用，</w:t>
            </w:r>
          </w:p>
          <w:p w14:paraId="0EC2FF18">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按里程数收费。以单次运送单具遗体的里程数计费，不得同时运输2具（含）以上遗体。按车辆里程表差值核定行驶里程。途经高速不加收高速费。丧属同乘不加收任何费用，但不得超载。</w:t>
            </w:r>
          </w:p>
        </w:tc>
        <w:tc>
          <w:tcPr>
            <w:tcW w:w="795" w:type="dxa"/>
            <w:tcBorders>
              <w:tl2br w:val="nil"/>
              <w:tr2bl w:val="nil"/>
            </w:tcBorders>
            <w:noWrap w:val="0"/>
            <w:vAlign w:val="center"/>
          </w:tcPr>
          <w:p w14:paraId="19775180">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w w:val="75"/>
                <w:sz w:val="21"/>
                <w:szCs w:val="21"/>
                <w:vertAlign w:val="baseline"/>
                <w:lang w:val="en-US" w:eastAsia="zh-CN"/>
              </w:rPr>
              <w:t>元/</w:t>
            </w:r>
            <w:r>
              <w:rPr>
                <w:rFonts w:hint="eastAsia" w:ascii="仿宋_GB2312" w:hAnsi="仿宋_GB2312" w:eastAsia="仿宋_GB2312" w:cs="仿宋_GB2312"/>
                <w:w w:val="75"/>
                <w:sz w:val="21"/>
                <w:szCs w:val="21"/>
                <w:vertAlign w:val="baseline"/>
                <w:lang w:val="en-US" w:eastAsia="zh-CN"/>
              </w:rPr>
              <w:t>公里</w:t>
            </w:r>
          </w:p>
        </w:tc>
      </w:tr>
      <w:tr w14:paraId="303233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6299A2A0">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14</w:t>
            </w:r>
          </w:p>
        </w:tc>
        <w:tc>
          <w:tcPr>
            <w:tcW w:w="1267" w:type="dxa"/>
            <w:tcBorders>
              <w:tl2br w:val="nil"/>
              <w:tr2bl w:val="nil"/>
            </w:tcBorders>
            <w:noWrap w:val="0"/>
            <w:vAlign w:val="center"/>
          </w:tcPr>
          <w:p w14:paraId="17444EA9">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非正常遗体接运服务</w:t>
            </w:r>
          </w:p>
        </w:tc>
        <w:tc>
          <w:tcPr>
            <w:tcW w:w="6533" w:type="dxa"/>
            <w:tcBorders>
              <w:tl2br w:val="nil"/>
              <w:tr2bl w:val="nil"/>
            </w:tcBorders>
            <w:noWrap w:val="0"/>
            <w:vAlign w:val="center"/>
          </w:tcPr>
          <w:p w14:paraId="3E4E3D32">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为公安机关或丧属提供非正常遗体（高度腐败遗体除外）接运服务，包括但不限于将非正常遗体收殓、抬尸、遗体消毒、装卸、运输等服务。不包含跨区域运输遗体。</w:t>
            </w:r>
          </w:p>
          <w:p w14:paraId="4DDB57A2">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按次收费。以单次运送单具遗体计费，不得同时运输2具（含）以上遗体。若途经高速、发生绕行等情况，不加收任何费用。丧属同乘不加收任何费用，但不得超载。</w:t>
            </w:r>
          </w:p>
        </w:tc>
        <w:tc>
          <w:tcPr>
            <w:tcW w:w="795" w:type="dxa"/>
            <w:tcBorders>
              <w:tl2br w:val="nil"/>
              <w:tr2bl w:val="nil"/>
            </w:tcBorders>
            <w:noWrap w:val="0"/>
            <w:vAlign w:val="center"/>
          </w:tcPr>
          <w:p w14:paraId="3234ABCB">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kern w:val="2"/>
                <w:sz w:val="21"/>
                <w:szCs w:val="21"/>
                <w:vertAlign w:val="baseline"/>
                <w:lang w:val="en-US" w:eastAsia="zh-CN" w:bidi="ar-SA"/>
              </w:rPr>
            </w:pPr>
            <w:r>
              <w:rPr>
                <w:rFonts w:hint="default" w:ascii="仿宋_GB2312" w:hAnsi="仿宋_GB2312" w:eastAsia="仿宋_GB2312" w:cs="仿宋_GB2312"/>
                <w:sz w:val="21"/>
                <w:szCs w:val="21"/>
                <w:vertAlign w:val="baseline"/>
                <w:lang w:val="en-US" w:eastAsia="zh-CN"/>
              </w:rPr>
              <w:t>元/</w:t>
            </w:r>
            <w:r>
              <w:rPr>
                <w:rFonts w:hint="eastAsia" w:ascii="仿宋_GB2312" w:hAnsi="仿宋_GB2312" w:eastAsia="仿宋_GB2312" w:cs="仿宋_GB2312"/>
                <w:sz w:val="21"/>
                <w:szCs w:val="21"/>
                <w:vertAlign w:val="baseline"/>
                <w:lang w:val="en-US" w:eastAsia="zh-CN"/>
              </w:rPr>
              <w:t>具</w:t>
            </w:r>
          </w:p>
        </w:tc>
      </w:tr>
      <w:tr w14:paraId="4983A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4E6DA7EC">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15</w:t>
            </w:r>
          </w:p>
        </w:tc>
        <w:tc>
          <w:tcPr>
            <w:tcW w:w="1267" w:type="dxa"/>
            <w:tcBorders>
              <w:tl2br w:val="nil"/>
              <w:tr2bl w:val="nil"/>
            </w:tcBorders>
            <w:noWrap w:val="0"/>
            <w:vAlign w:val="center"/>
          </w:tcPr>
          <w:p w14:paraId="1B344F6A">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送灯服务</w:t>
            </w:r>
          </w:p>
        </w:tc>
        <w:tc>
          <w:tcPr>
            <w:tcW w:w="6533" w:type="dxa"/>
            <w:tcBorders>
              <w:tl2br w:val="nil"/>
              <w:tr2bl w:val="nil"/>
            </w:tcBorders>
            <w:noWrap w:val="0"/>
            <w:vAlign w:val="center"/>
          </w:tcPr>
          <w:p w14:paraId="0F2CC5E3">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按本地风俗在大年三十、正月十五等时间，为丧属提供送灯服务。包括但不限于灯、电池、挂钩等基础服务。</w:t>
            </w:r>
          </w:p>
          <w:p w14:paraId="5F5560EF">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按次收费。以完成送灯标准服务流程计费。</w:t>
            </w:r>
          </w:p>
        </w:tc>
        <w:tc>
          <w:tcPr>
            <w:tcW w:w="795" w:type="dxa"/>
            <w:tcBorders>
              <w:tl2br w:val="nil"/>
              <w:tr2bl w:val="nil"/>
            </w:tcBorders>
            <w:noWrap w:val="0"/>
            <w:vAlign w:val="center"/>
          </w:tcPr>
          <w:p w14:paraId="43D78890">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w w:val="75"/>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元/次</w:t>
            </w:r>
          </w:p>
        </w:tc>
      </w:tr>
      <w:tr w14:paraId="29C5FD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5650B1F2">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16</w:t>
            </w:r>
          </w:p>
        </w:tc>
        <w:tc>
          <w:tcPr>
            <w:tcW w:w="1267" w:type="dxa"/>
            <w:tcBorders>
              <w:tl2br w:val="nil"/>
              <w:tr2bl w:val="nil"/>
            </w:tcBorders>
            <w:noWrap w:val="0"/>
            <w:vAlign w:val="center"/>
          </w:tcPr>
          <w:p w14:paraId="376D9796">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代祭祀服务</w:t>
            </w:r>
          </w:p>
        </w:tc>
        <w:tc>
          <w:tcPr>
            <w:tcW w:w="6533" w:type="dxa"/>
            <w:tcBorders>
              <w:tl2br w:val="nil"/>
              <w:tr2bl w:val="nil"/>
            </w:tcBorders>
            <w:noWrap w:val="0"/>
            <w:vAlign w:val="center"/>
          </w:tcPr>
          <w:p w14:paraId="698C8427">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为不能到现场祭祀的群众提供代祭祀服务，包括但不限于鲜花、蜡烛、供台等祭祀用品，也可为群众代买黄纸、元宝等祭祀用品并提供支付证明，祭祀全程可视频或提供录像。</w:t>
            </w:r>
          </w:p>
          <w:p w14:paraId="36B3ACB4">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按次收费。以完成祭祀标准服务流程计费。</w:t>
            </w:r>
          </w:p>
        </w:tc>
        <w:tc>
          <w:tcPr>
            <w:tcW w:w="795" w:type="dxa"/>
            <w:tcBorders>
              <w:tl2br w:val="nil"/>
              <w:tr2bl w:val="nil"/>
            </w:tcBorders>
            <w:noWrap w:val="0"/>
            <w:vAlign w:val="center"/>
          </w:tcPr>
          <w:p w14:paraId="3E795420">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w w:val="75"/>
                <w:kern w:val="2"/>
                <w:sz w:val="21"/>
                <w:szCs w:val="21"/>
                <w:vertAlign w:val="baseline"/>
                <w:lang w:val="en-US" w:eastAsia="zh-CN" w:bidi="ar-SA"/>
              </w:rPr>
            </w:pPr>
            <w:r>
              <w:rPr>
                <w:rFonts w:hint="default" w:ascii="仿宋_GB2312" w:hAnsi="仿宋_GB2312" w:eastAsia="仿宋_GB2312" w:cs="仿宋_GB2312"/>
                <w:sz w:val="21"/>
                <w:szCs w:val="21"/>
                <w:vertAlign w:val="baseline"/>
                <w:lang w:val="en-US" w:eastAsia="zh-CN"/>
              </w:rPr>
              <w:t>元/次</w:t>
            </w:r>
          </w:p>
        </w:tc>
      </w:tr>
      <w:tr w14:paraId="3B788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6" w:type="dxa"/>
            <w:tcBorders>
              <w:tl2br w:val="nil"/>
              <w:tr2bl w:val="nil"/>
            </w:tcBorders>
            <w:noWrap w:val="0"/>
            <w:vAlign w:val="center"/>
          </w:tcPr>
          <w:p w14:paraId="19F67A3E">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17</w:t>
            </w:r>
          </w:p>
        </w:tc>
        <w:tc>
          <w:tcPr>
            <w:tcW w:w="1267" w:type="dxa"/>
            <w:tcBorders>
              <w:tl2br w:val="nil"/>
              <w:tr2bl w:val="nil"/>
            </w:tcBorders>
            <w:noWrap w:val="0"/>
            <w:vAlign w:val="center"/>
          </w:tcPr>
          <w:p w14:paraId="1AFA394B">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骨灰瞻仰</w:t>
            </w:r>
          </w:p>
          <w:p w14:paraId="4C546E38">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服务</w:t>
            </w:r>
          </w:p>
        </w:tc>
        <w:tc>
          <w:tcPr>
            <w:tcW w:w="6533" w:type="dxa"/>
            <w:tcBorders>
              <w:tl2br w:val="nil"/>
              <w:tr2bl w:val="nil"/>
            </w:tcBorders>
            <w:noWrap w:val="0"/>
            <w:vAlign w:val="center"/>
          </w:tcPr>
          <w:p w14:paraId="123A469F">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在工作时间，为寄存骨灰的丧属随时提供瞻仰服务，包括但不限于场地及供台、绢花、花圈等基础服务。</w:t>
            </w:r>
          </w:p>
          <w:p w14:paraId="4148AE0C">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按次收费。以保证丧属完成瞻仰流程计费。</w:t>
            </w:r>
          </w:p>
        </w:tc>
        <w:tc>
          <w:tcPr>
            <w:tcW w:w="795" w:type="dxa"/>
            <w:tcBorders>
              <w:tl2br w:val="nil"/>
              <w:tr2bl w:val="nil"/>
            </w:tcBorders>
            <w:noWrap w:val="0"/>
            <w:vAlign w:val="center"/>
          </w:tcPr>
          <w:p w14:paraId="582A529A">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元/次</w:t>
            </w:r>
          </w:p>
        </w:tc>
      </w:tr>
      <w:tr w14:paraId="14096F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466" w:type="dxa"/>
            <w:tcBorders>
              <w:tl2br w:val="nil"/>
              <w:tr2bl w:val="nil"/>
            </w:tcBorders>
            <w:noWrap w:val="0"/>
            <w:vAlign w:val="center"/>
          </w:tcPr>
          <w:p w14:paraId="30514899">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18</w:t>
            </w:r>
          </w:p>
        </w:tc>
        <w:tc>
          <w:tcPr>
            <w:tcW w:w="1267" w:type="dxa"/>
            <w:tcBorders>
              <w:tl2br w:val="nil"/>
              <w:tr2bl w:val="nil"/>
            </w:tcBorders>
            <w:noWrap w:val="0"/>
            <w:vAlign w:val="center"/>
          </w:tcPr>
          <w:p w14:paraId="6EF801C7">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焚烧场单间祭祀服务</w:t>
            </w:r>
          </w:p>
        </w:tc>
        <w:tc>
          <w:tcPr>
            <w:tcW w:w="6533" w:type="dxa"/>
            <w:tcBorders>
              <w:tl2br w:val="nil"/>
              <w:tr2bl w:val="nil"/>
            </w:tcBorders>
            <w:noWrap w:val="0"/>
            <w:vAlign w:val="center"/>
          </w:tcPr>
          <w:p w14:paraId="6588EB22">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在焚烧场为家属提供单间祭祀服务，包括但不限于提供逝者灵位牌、供品摆放，逝者遗物、祭祀用品焚烧及消防安全、灰烬处理、污染气体处理等基础服务。</w:t>
            </w:r>
          </w:p>
          <w:p w14:paraId="7BA6BBC8">
            <w:pPr>
              <w:pStyle w:val="6"/>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baseline"/>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按次收费。保证丧属一次性焚烧全部遗物。</w:t>
            </w:r>
          </w:p>
        </w:tc>
        <w:tc>
          <w:tcPr>
            <w:tcW w:w="795" w:type="dxa"/>
            <w:tcBorders>
              <w:tl2br w:val="nil"/>
              <w:tr2bl w:val="nil"/>
            </w:tcBorders>
            <w:noWrap w:val="0"/>
            <w:vAlign w:val="center"/>
          </w:tcPr>
          <w:p w14:paraId="0FB8C948">
            <w:pPr>
              <w:pStyle w:val="6"/>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baseline"/>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元/次</w:t>
            </w:r>
          </w:p>
        </w:tc>
      </w:tr>
    </w:tbl>
    <w:p w14:paraId="19826AD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CESI楷体-GB2312">
    <w:altName w:val="楷体_GB2312"/>
    <w:panose1 w:val="02000500000000000000"/>
    <w:charset w:val="86"/>
    <w:family w:val="auto"/>
    <w:pitch w:val="default"/>
    <w:sig w:usb0="00000000" w:usb1="00000000" w:usb2="00000012" w:usb3="00000000" w:csb0="0004000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F117A8"/>
    <w:rsid w:val="37F11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ormalIndent"/>
    <w:basedOn w:val="1"/>
    <w:qFormat/>
    <w:uiPriority w:val="0"/>
    <w:pPr>
      <w:ind w:firstLine="420"/>
      <w:textAlignment w:val="baseline"/>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2026-04-23T02:37:00Z</dcterms:created>
  <dc:creator>是个蓄蓄_</dc:creator>
  <cp:lastModifiedBy>是个蓄蓄_</cp:lastModifiedBy>
  <dcterms:modified xsi:type="dcterms:W3CDTF">2026-04-23T02:38:29Z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015E6122C558438EA83B0C5E7B0B9AB0_11</vt:lpwstr>
  </property>
  <property fmtid="{D5CDD505-2E9C-101B-9397-08002B2CF9AE}" pid="4" name="KSOTemplateDocerSaveRecord">
    <vt:lpwstr>eyJoZGlkIjoiM2M5YjcwYjEwNGVjZDhhOGM5MDJkODhjNWIwODViNTMiLCJ1c2VySWQiOiI2OTMzMzQxNTEifQ==</vt:lpwstr>
  </property>
</Properties>
</file>