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29ED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本溪市向中度以上失能老年人发放</w:t>
      </w:r>
    </w:p>
    <w:p w14:paraId="3DE3967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养老服务消费补贴项目实施方案</w:t>
      </w:r>
    </w:p>
    <w:p w14:paraId="2B563DE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（征求社会</w:t>
      </w:r>
      <w:bookmarkStart w:id="0" w:name="_GoBack"/>
      <w:bookmarkEnd w:id="0"/>
      <w:r>
        <w:rPr>
          <w:rFonts w:hint="eastAsia" w:ascii="方正小标宋简体" w:hAnsi="方正小标宋简体" w:eastAsia="方正小标宋简体" w:cs="方正小标宋简体"/>
          <w:sz w:val="44"/>
          <w:szCs w:val="44"/>
          <w:lang w:val="en-US" w:eastAsia="zh-CN"/>
        </w:rPr>
        <w:t>意见稿）</w:t>
      </w:r>
    </w:p>
    <w:p w14:paraId="0D65A59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14:paraId="57CCDE5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none"/>
          <w:lang w:val="en-US" w:eastAsia="zh-CN"/>
        </w:rPr>
        <w:t>为贯彻落实</w:t>
      </w:r>
      <w:r>
        <w:rPr>
          <w:rFonts w:hint="eastAsia" w:ascii="Times New Roman" w:hAnsi="Times New Roman" w:eastAsia="仿宋_GB2312" w:cs="Times New Roman"/>
          <w:sz w:val="32"/>
          <w:szCs w:val="32"/>
          <w:highlight w:val="none"/>
          <w:lang w:val="en-US" w:eastAsia="zh-CN"/>
        </w:rPr>
        <w:t>《民政部办公厅 财政部办公厅关于全面启动实施向中度以上失能老年人发放养老服务消费补贴项目的通知》</w:t>
      </w:r>
      <w:r>
        <w:rPr>
          <w:rFonts w:hint="eastAsia" w:ascii="仿宋_GB2312" w:hAnsi="仿宋_GB2312" w:eastAsia="仿宋_GB2312" w:cs="仿宋_GB2312"/>
          <w:sz w:val="32"/>
          <w:szCs w:val="32"/>
          <w:u w:val="none"/>
          <w:lang w:val="en-US" w:eastAsia="zh-CN"/>
        </w:rPr>
        <w:t>及省民政厅相关文件要求，</w:t>
      </w:r>
      <w:r>
        <w:rPr>
          <w:rFonts w:hint="eastAsia" w:ascii="仿宋_GB2312" w:hAnsi="仿宋_GB2312" w:eastAsia="仿宋_GB2312" w:cs="仿宋_GB2312"/>
          <w:sz w:val="32"/>
          <w:szCs w:val="32"/>
        </w:rPr>
        <w:t>切实推进我市失能老年人照护服务工作，</w:t>
      </w:r>
      <w:r>
        <w:rPr>
          <w:rFonts w:hint="eastAsia" w:ascii="仿宋_GB2312" w:hAnsi="仿宋_GB2312" w:eastAsia="仿宋_GB2312" w:cs="仿宋_GB2312"/>
          <w:sz w:val="32"/>
          <w:szCs w:val="32"/>
          <w:lang w:eastAsia="zh-CN"/>
        </w:rPr>
        <w:t>提振</w:t>
      </w:r>
      <w:r>
        <w:rPr>
          <w:rFonts w:hint="eastAsia" w:ascii="仿宋_GB2312" w:hAnsi="仿宋_GB2312" w:eastAsia="仿宋_GB2312" w:cs="仿宋_GB2312"/>
          <w:sz w:val="32"/>
          <w:szCs w:val="32"/>
        </w:rPr>
        <w:t>养老服务消费，</w:t>
      </w:r>
      <w:r>
        <w:rPr>
          <w:rFonts w:hint="default" w:ascii="Times New Roman" w:hAnsi="Times New Roman" w:eastAsia="仿宋_GB2312" w:cs="Times New Roman"/>
          <w:i w:val="0"/>
          <w:caps w:val="0"/>
          <w:color w:val="auto"/>
          <w:spacing w:val="0"/>
          <w:sz w:val="32"/>
          <w:szCs w:val="32"/>
          <w:highlight w:val="none"/>
          <w:shd w:val="clear" w:color="auto" w:fill="FFFFFF"/>
        </w:rPr>
        <w:t>推动新时代新征程养老服务高质量发展，</w:t>
      </w:r>
      <w:r>
        <w:rPr>
          <w:rFonts w:hint="default" w:ascii="Times New Roman" w:hAnsi="Times New Roman" w:eastAsia="仿宋_GB2312" w:cs="Times New Roman"/>
          <w:i w:val="0"/>
          <w:caps w:val="0"/>
          <w:color w:val="auto"/>
          <w:spacing w:val="0"/>
          <w:sz w:val="32"/>
          <w:szCs w:val="32"/>
          <w:highlight w:val="none"/>
          <w:shd w:val="clear" w:color="auto" w:fill="FFFFFF"/>
          <w:lang w:eastAsia="zh-CN"/>
        </w:rPr>
        <w:t>决定在</w:t>
      </w:r>
      <w:r>
        <w:rPr>
          <w:rFonts w:hint="eastAsia" w:ascii="Times New Roman" w:hAnsi="Times New Roman" w:eastAsia="仿宋_GB2312" w:cs="Times New Roman"/>
          <w:i w:val="0"/>
          <w:caps w:val="0"/>
          <w:color w:val="auto"/>
          <w:spacing w:val="0"/>
          <w:sz w:val="32"/>
          <w:szCs w:val="32"/>
          <w:highlight w:val="none"/>
          <w:shd w:val="clear" w:color="auto" w:fill="FFFFFF"/>
          <w:lang w:eastAsia="zh-CN"/>
        </w:rPr>
        <w:t>我市</w:t>
      </w:r>
      <w:r>
        <w:rPr>
          <w:rFonts w:hint="default" w:ascii="Times New Roman" w:hAnsi="Times New Roman" w:eastAsia="仿宋_GB2312" w:cs="Times New Roman"/>
          <w:i w:val="0"/>
          <w:caps w:val="0"/>
          <w:color w:val="auto"/>
          <w:spacing w:val="0"/>
          <w:sz w:val="32"/>
          <w:szCs w:val="32"/>
          <w:highlight w:val="none"/>
          <w:shd w:val="clear" w:color="auto" w:fill="FFFFFF"/>
          <w:lang w:eastAsia="zh-CN"/>
        </w:rPr>
        <w:t>实施向中度及以上失能老年人发放养老服务消费补</w:t>
      </w:r>
      <w:r>
        <w:rPr>
          <w:rFonts w:hint="default" w:ascii="Times New Roman" w:hAnsi="Times New Roman" w:eastAsia="仿宋_GB2312" w:cs="Times New Roman"/>
          <w:i w:val="0"/>
          <w:caps w:val="0"/>
          <w:color w:val="auto"/>
          <w:spacing w:val="0"/>
          <w:kern w:val="0"/>
          <w:sz w:val="32"/>
          <w:szCs w:val="32"/>
          <w:highlight w:val="none"/>
          <w:shd w:val="clear" w:color="auto" w:fill="FFFFFF"/>
          <w:lang w:val="en-US" w:eastAsia="zh-CN" w:bidi="ar"/>
        </w:rPr>
        <w:t>贴项目，</w:t>
      </w:r>
      <w:r>
        <w:rPr>
          <w:rFonts w:hint="eastAsia" w:ascii="Times New Roman" w:hAnsi="Times New Roman" w:eastAsia="仿宋_GB2312" w:cs="Times New Roman"/>
          <w:i w:val="0"/>
          <w:caps w:val="0"/>
          <w:color w:val="auto"/>
          <w:spacing w:val="0"/>
          <w:kern w:val="0"/>
          <w:sz w:val="32"/>
          <w:szCs w:val="32"/>
          <w:highlight w:val="none"/>
          <w:shd w:val="clear" w:color="auto" w:fill="FFFFFF"/>
          <w:lang w:val="en-US" w:eastAsia="zh-CN" w:bidi="ar"/>
        </w:rPr>
        <w:t>结合我市实际，</w:t>
      </w:r>
      <w:r>
        <w:rPr>
          <w:rFonts w:hint="eastAsia" w:ascii="仿宋_GB2312" w:hAnsi="仿宋_GB2312" w:eastAsia="仿宋_GB2312" w:cs="仿宋_GB2312"/>
          <w:sz w:val="32"/>
          <w:szCs w:val="32"/>
        </w:rPr>
        <w:t>制定本实施方案。</w:t>
      </w:r>
    </w:p>
    <w:p w14:paraId="4B46BE2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一、总体目标</w:t>
      </w:r>
    </w:p>
    <w:p w14:paraId="74380E9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通过财政补贴方式，支持中度及以上失能老年人购买多元化、专业化养老服务，提升其生活质量，同时激发养老服务市场活力，推动我市养老服务体系建设高质量发展。</w:t>
      </w:r>
    </w:p>
    <w:p w14:paraId="72494C3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黑体" w:hAnsi="黑体" w:eastAsia="黑体" w:cs="黑体"/>
          <w:sz w:val="32"/>
          <w:szCs w:val="32"/>
        </w:rPr>
        <w:t>二、实施内容</w:t>
      </w:r>
    </w:p>
    <w:p w14:paraId="27D5539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（一）补贴对象</w:t>
      </w:r>
    </w:p>
    <w:p w14:paraId="0E172F9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经统一能力评估为中度、重度、完全失能等级</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居住地</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rPr>
        <w:t>本溪市的60周岁及以上老年人。</w:t>
      </w:r>
    </w:p>
    <w:p w14:paraId="7A2FA16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不纳入</w:t>
      </w:r>
      <w:r>
        <w:rPr>
          <w:rFonts w:hint="eastAsia" w:ascii="仿宋_GB2312" w:hAnsi="仿宋_GB2312" w:eastAsia="仿宋_GB2312" w:cs="仿宋_GB2312"/>
          <w:color w:val="auto"/>
          <w:sz w:val="32"/>
          <w:szCs w:val="32"/>
          <w:lang w:eastAsia="zh-CN"/>
        </w:rPr>
        <w:t>补贴</w:t>
      </w:r>
      <w:r>
        <w:rPr>
          <w:rFonts w:hint="eastAsia" w:ascii="仿宋_GB2312" w:hAnsi="仿宋_GB2312" w:eastAsia="仿宋_GB2312" w:cs="仿宋_GB2312"/>
          <w:color w:val="auto"/>
          <w:sz w:val="32"/>
          <w:szCs w:val="32"/>
        </w:rPr>
        <w:t>对象</w:t>
      </w:r>
      <w:r>
        <w:rPr>
          <w:rFonts w:hint="eastAsia" w:ascii="仿宋_GB2312" w:hAnsi="仿宋_GB2312" w:eastAsia="仿宋_GB2312" w:cs="仿宋_GB2312"/>
          <w:color w:val="auto"/>
          <w:sz w:val="32"/>
          <w:szCs w:val="32"/>
          <w:lang w:eastAsia="zh-CN"/>
        </w:rPr>
        <w:t>范围</w:t>
      </w:r>
      <w:r>
        <w:rPr>
          <w:rFonts w:hint="eastAsia" w:ascii="仿宋_GB2312" w:hAnsi="仿宋_GB2312" w:eastAsia="仿宋_GB2312" w:cs="仿宋_GB2312"/>
          <w:color w:val="auto"/>
          <w:sz w:val="32"/>
          <w:szCs w:val="32"/>
        </w:rPr>
        <w:t>：正在享受特困人员供养救助待遇、经济困难失能老年人集中照护服务补助、农村困难家庭常年病人托管服务、居家和社区基本养老服务提升行动项目服务的老年人。</w:t>
      </w:r>
    </w:p>
    <w:p w14:paraId="46EF80D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（二）补贴项目</w:t>
      </w:r>
    </w:p>
    <w:p w14:paraId="08FBF3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包括居家养老、社区和机构养老服务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含入住机构时间在30天以上的长期服务和入住机构时间在30天以内的短期服务即“喘息服务”）</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其中居家、社区养老服务</w:t>
      </w:r>
      <w:r>
        <w:rPr>
          <w:rFonts w:hint="eastAsia" w:ascii="仿宋_GB2312" w:hAnsi="仿宋_GB2312" w:eastAsia="仿宋_GB2312" w:cs="仿宋_GB2312"/>
          <w:sz w:val="32"/>
          <w:szCs w:val="32"/>
        </w:rPr>
        <w:t>具体服务项目</w:t>
      </w:r>
      <w:r>
        <w:rPr>
          <w:rFonts w:hint="eastAsia" w:ascii="仿宋_GB2312" w:hAnsi="仿宋_GB2312" w:eastAsia="仿宋_GB2312" w:cs="仿宋_GB2312"/>
          <w:sz w:val="32"/>
          <w:szCs w:val="32"/>
          <w:lang w:eastAsia="zh-CN"/>
        </w:rPr>
        <w:t>详见信息系统“民政通”相关模块内容</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根据上级部门</w:t>
      </w:r>
      <w:r>
        <w:rPr>
          <w:rFonts w:hint="eastAsia" w:ascii="仿宋_GB2312" w:hAnsi="仿宋_GB2312" w:eastAsia="仿宋_GB2312" w:cs="仿宋_GB2312"/>
          <w:sz w:val="32"/>
          <w:szCs w:val="32"/>
          <w:lang w:eastAsia="zh-CN"/>
        </w:rPr>
        <w:t>要求，结合实施情况进行</w:t>
      </w:r>
      <w:r>
        <w:rPr>
          <w:rFonts w:hint="eastAsia" w:ascii="仿宋_GB2312" w:hAnsi="仿宋_GB2312" w:eastAsia="仿宋_GB2312" w:cs="仿宋_GB2312"/>
          <w:sz w:val="32"/>
          <w:szCs w:val="32"/>
        </w:rPr>
        <w:t>动态调整。</w:t>
      </w:r>
    </w:p>
    <w:p w14:paraId="54395C1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（三）补贴形式</w:t>
      </w:r>
    </w:p>
    <w:p w14:paraId="41F183C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通过“民政通”（含小程序、APP）按</w:t>
      </w:r>
      <w:r>
        <w:rPr>
          <w:rFonts w:hint="eastAsia" w:ascii="仿宋_GB2312" w:hAnsi="仿宋_GB2312" w:eastAsia="仿宋_GB2312" w:cs="仿宋_GB2312"/>
          <w:sz w:val="32"/>
          <w:szCs w:val="32"/>
          <w:lang w:eastAsia="zh-CN"/>
        </w:rPr>
        <w:t>自然</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向符合条件的老年人</w:t>
      </w:r>
      <w:r>
        <w:rPr>
          <w:rFonts w:hint="eastAsia" w:ascii="仿宋_GB2312" w:hAnsi="仿宋_GB2312" w:eastAsia="仿宋_GB2312" w:cs="仿宋_GB2312"/>
          <w:sz w:val="32"/>
          <w:szCs w:val="32"/>
        </w:rPr>
        <w:t>发放</w:t>
      </w:r>
      <w:r>
        <w:rPr>
          <w:rFonts w:hint="eastAsia" w:ascii="仿宋_GB2312" w:hAnsi="仿宋_GB2312" w:eastAsia="仿宋_GB2312" w:cs="仿宋_GB2312"/>
          <w:sz w:val="32"/>
          <w:szCs w:val="32"/>
          <w:lang w:val="en-US" w:eastAsia="zh-CN"/>
        </w:rPr>
        <w:t>电子消费券</w:t>
      </w:r>
      <w:r>
        <w:rPr>
          <w:rFonts w:hint="eastAsia" w:ascii="仿宋_GB2312" w:hAnsi="仿宋_GB2312" w:eastAsia="仿宋_GB2312" w:cs="仿宋_GB2312"/>
          <w:sz w:val="32"/>
          <w:szCs w:val="32"/>
        </w:rPr>
        <w:t>，不得</w:t>
      </w:r>
      <w:r>
        <w:rPr>
          <w:rFonts w:hint="eastAsia" w:ascii="仿宋_GB2312" w:hAnsi="仿宋_GB2312" w:eastAsia="仿宋_GB2312" w:cs="仿宋_GB2312"/>
          <w:sz w:val="32"/>
          <w:szCs w:val="32"/>
          <w:lang w:val="en-US" w:eastAsia="zh-CN"/>
        </w:rPr>
        <w:t>折</w:t>
      </w:r>
      <w:r>
        <w:rPr>
          <w:rFonts w:hint="eastAsia" w:ascii="仿宋_GB2312" w:hAnsi="仿宋_GB2312" w:eastAsia="仿宋_GB2312" w:cs="仿宋_GB2312"/>
          <w:sz w:val="32"/>
          <w:szCs w:val="32"/>
        </w:rPr>
        <w:t>现，</w:t>
      </w:r>
      <w:r>
        <w:rPr>
          <w:rFonts w:hint="eastAsia" w:ascii="仿宋_GB2312" w:hAnsi="仿宋_GB2312" w:eastAsia="仿宋_GB2312" w:cs="仿宋_GB2312"/>
          <w:sz w:val="32"/>
          <w:szCs w:val="32"/>
          <w:lang w:eastAsia="zh-CN"/>
        </w:rPr>
        <w:t>仅可以通过</w:t>
      </w:r>
      <w:r>
        <w:rPr>
          <w:rFonts w:hint="eastAsia" w:ascii="仿宋_GB2312" w:hAnsi="仿宋_GB2312" w:eastAsia="仿宋_GB2312" w:cs="仿宋_GB2312"/>
          <w:sz w:val="32"/>
          <w:szCs w:val="32"/>
          <w:lang w:val="en-US" w:eastAsia="zh-CN"/>
        </w:rPr>
        <w:t>“民政通”</w:t>
      </w:r>
      <w:r>
        <w:rPr>
          <w:rFonts w:hint="eastAsia" w:ascii="仿宋_GB2312" w:hAnsi="仿宋_GB2312" w:eastAsia="仿宋_GB2312" w:cs="仿宋_GB2312"/>
          <w:sz w:val="32"/>
          <w:szCs w:val="32"/>
        </w:rPr>
        <w:t>购买养老服务。</w:t>
      </w:r>
    </w:p>
    <w:p w14:paraId="512B84F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（四）补贴标准</w:t>
      </w:r>
    </w:p>
    <w:p w14:paraId="2FEEAEE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抵扣比例：</w:t>
      </w:r>
      <w:r>
        <w:rPr>
          <w:rFonts w:hint="eastAsia" w:ascii="仿宋_GB2312" w:hAnsi="仿宋_GB2312" w:eastAsia="仿宋_GB2312" w:cs="仿宋_GB2312"/>
          <w:sz w:val="32"/>
          <w:szCs w:val="32"/>
        </w:rPr>
        <w:t>电子消费券用于抵扣补贴项目范围内个人自付的养老服务消费金额，</w:t>
      </w:r>
      <w:r>
        <w:rPr>
          <w:rFonts w:hint="eastAsia" w:ascii="仿宋_GB2312" w:hAnsi="仿宋_GB2312" w:eastAsia="仿宋_GB2312" w:cs="仿宋_GB2312"/>
          <w:sz w:val="32"/>
          <w:szCs w:val="32"/>
          <w:lang w:val="en-US" w:eastAsia="zh-CN"/>
        </w:rPr>
        <w:t>在人均每月最高抵扣额度范围内，长期入住机构、“喘息”服务、日间托养抵扣比例暂定为养老服务消费金额的</w:t>
      </w:r>
      <w:r>
        <w:rPr>
          <w:rFonts w:hint="eastAsia" w:ascii="仿宋_GB2312" w:hAnsi="仿宋_GB2312" w:eastAsia="仿宋_GB2312" w:cs="仿宋_GB2312"/>
          <w:sz w:val="32"/>
          <w:szCs w:val="32"/>
        </w:rPr>
        <w:t>40%</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居家上门服务类</w:t>
      </w:r>
      <w:r>
        <w:rPr>
          <w:rFonts w:hint="eastAsia" w:ascii="仿宋_GB2312" w:hAnsi="仿宋_GB2312" w:eastAsia="仿宋_GB2312" w:cs="仿宋_GB2312"/>
          <w:sz w:val="32"/>
          <w:szCs w:val="32"/>
          <w:lang w:val="en-US" w:eastAsia="zh-CN"/>
        </w:rPr>
        <w:t>抵扣比例暂定</w:t>
      </w: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lang w:val="en-US" w:eastAsia="zh-CN"/>
        </w:rPr>
        <w:t>养老服务消费金额的50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none"/>
          <w:lang w:val="en-US" w:eastAsia="zh-CN"/>
        </w:rPr>
        <w:t>老年人最终评估结果为中度以上失能的，其评估费用可通过能力评估电子消费券予以全额抵扣；老年人经评估为轻度失能或能力完好的，其评估费用由老年人自行承担。</w:t>
      </w:r>
    </w:p>
    <w:p w14:paraId="3BD3A7A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color w:val="0000FF"/>
          <w:sz w:val="32"/>
          <w:szCs w:val="32"/>
          <w:lang w:val="en-US"/>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抵扣额度：长期入住机构、“喘息服务”、日间托养类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暂定为</w:t>
      </w:r>
      <w:r>
        <w:rPr>
          <w:rFonts w:hint="eastAsia" w:ascii="仿宋_GB2312" w:hAnsi="仿宋_GB2312" w:eastAsia="仿宋_GB2312" w:cs="仿宋_GB2312"/>
          <w:sz w:val="32"/>
          <w:szCs w:val="32"/>
        </w:rPr>
        <w:t>每人每月最高抵扣800元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居家上门服务类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暂定为</w:t>
      </w:r>
      <w:r>
        <w:rPr>
          <w:rFonts w:hint="eastAsia" w:ascii="仿宋_GB2312" w:hAnsi="仿宋_GB2312" w:eastAsia="仿宋_GB2312" w:cs="仿宋_GB2312"/>
          <w:sz w:val="32"/>
          <w:szCs w:val="32"/>
        </w:rPr>
        <w:t>每人每月最高抵</w:t>
      </w:r>
      <w:r>
        <w:rPr>
          <w:rFonts w:hint="eastAsia" w:ascii="仿宋_GB2312" w:hAnsi="仿宋_GB2312" w:eastAsia="仿宋_GB2312" w:cs="仿宋_GB2312"/>
          <w:color w:val="auto"/>
          <w:sz w:val="32"/>
          <w:szCs w:val="32"/>
        </w:rPr>
        <w:t>扣800元。评估费用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暂定为每次100元。</w:t>
      </w:r>
    </w:p>
    <w:p w14:paraId="78778E72">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Chars="0" w:firstLine="640" w:firstLineChars="200"/>
        <w:textAlignment w:val="auto"/>
        <w:rPr>
          <w:rFonts w:hint="default" w:ascii="仿宋_GB2312" w:hAnsi="仿宋_GB2312" w:eastAsia="仿宋_GB2312" w:cs="仿宋_GB2312"/>
          <w:sz w:val="32"/>
          <w:szCs w:val="32"/>
          <w:u w:val="none"/>
          <w:lang w:val="en" w:eastAsia="zh-CN"/>
        </w:rPr>
      </w:pPr>
      <w:r>
        <w:rPr>
          <w:rFonts w:hint="eastAsia" w:ascii="仿宋_GB2312" w:hAnsi="仿宋_GB2312" w:eastAsia="仿宋_GB2312" w:cs="仿宋_GB2312"/>
          <w:sz w:val="32"/>
          <w:szCs w:val="32"/>
          <w:lang w:eastAsia="zh-CN"/>
        </w:rPr>
        <w:t>民政部、财政部</w:t>
      </w:r>
      <w:r>
        <w:rPr>
          <w:rFonts w:hint="eastAsia" w:ascii="仿宋_GB2312" w:hAnsi="仿宋_GB2312" w:eastAsia="仿宋_GB2312" w:cs="仿宋_GB2312"/>
          <w:sz w:val="32"/>
          <w:szCs w:val="32"/>
          <w:lang w:val="en-US" w:eastAsia="zh-CN"/>
        </w:rPr>
        <w:t>后续将根据实施情况统一对补贴项目、</w:t>
      </w:r>
      <w:r>
        <w:rPr>
          <w:rFonts w:hint="eastAsia" w:ascii="仿宋_GB2312" w:hAnsi="仿宋_GB2312" w:eastAsia="仿宋_GB2312" w:cs="仿宋_GB2312"/>
          <w:sz w:val="32"/>
          <w:szCs w:val="32"/>
          <w:lang w:eastAsia="zh-CN"/>
        </w:rPr>
        <w:t>相关抵扣比例和额度等</w:t>
      </w:r>
      <w:r>
        <w:rPr>
          <w:rFonts w:hint="eastAsia" w:ascii="仿宋_GB2312" w:hAnsi="仿宋_GB2312" w:eastAsia="仿宋_GB2312" w:cs="仿宋_GB2312"/>
          <w:sz w:val="32"/>
          <w:szCs w:val="32"/>
          <w:lang w:val="en-US" w:eastAsia="zh-CN"/>
        </w:rPr>
        <w:t>适时进行调整</w:t>
      </w:r>
      <w:r>
        <w:rPr>
          <w:rFonts w:hint="eastAsia" w:ascii="仿宋_GB2312" w:hAnsi="仿宋_GB2312" w:eastAsia="仿宋_GB2312" w:cs="仿宋_GB2312"/>
          <w:sz w:val="32"/>
          <w:szCs w:val="32"/>
          <w:lang w:eastAsia="zh-CN"/>
        </w:rPr>
        <w:t>。</w:t>
      </w:r>
    </w:p>
    <w:p w14:paraId="7666178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（五）实施期限</w:t>
      </w:r>
    </w:p>
    <w:p w14:paraId="29E9A8E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补贴项目实施周期为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12个自然月（从</w:t>
      </w:r>
      <w:r>
        <w:rPr>
          <w:rFonts w:hint="eastAsia" w:ascii="仿宋_GB2312" w:hAnsi="仿宋_GB2312" w:eastAsia="仿宋_GB2312" w:cs="仿宋_GB2312"/>
          <w:color w:val="000000" w:themeColor="text1"/>
          <w:sz w:val="32"/>
          <w:szCs w:val="32"/>
          <w14:textFill>
            <w14:solidFill>
              <w14:schemeClr w14:val="tx1"/>
            </w14:solidFill>
          </w14:textFill>
        </w:rPr>
        <w:t>2026年1月</w:t>
      </w:r>
      <w:r>
        <w:rPr>
          <w:rFonts w:hint="eastAsia" w:ascii="仿宋_GB2312" w:hAnsi="仿宋_GB2312" w:eastAsia="仿宋_GB2312" w:cs="仿宋_GB2312"/>
          <w:color w:val="000000" w:themeColor="text1"/>
          <w:sz w:val="32"/>
          <w:szCs w:val="32"/>
          <w:lang w:eastAsia="zh-CN"/>
          <w14:textFill>
            <w14:solidFill>
              <w14:schemeClr w14:val="tx1"/>
            </w14:solidFill>
          </w14:textFill>
        </w:rPr>
        <w:t>至</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12月）</w:t>
      </w:r>
      <w:r>
        <w:rPr>
          <w:rFonts w:hint="eastAsia" w:ascii="仿宋_GB2312" w:hAnsi="仿宋_GB2312" w:eastAsia="仿宋_GB2312" w:cs="仿宋_GB2312"/>
          <w:color w:val="000000" w:themeColor="text1"/>
          <w:sz w:val="32"/>
          <w:szCs w:val="32"/>
          <w14:textFill>
            <w14:solidFill>
              <w14:schemeClr w14:val="tx1"/>
            </w14:solidFill>
          </w14:textFill>
        </w:rPr>
        <w:t>。</w:t>
      </w:r>
    </w:p>
    <w:p w14:paraId="05C3C9A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黑体" w:hAnsi="黑体" w:eastAsia="黑体" w:cs="黑体"/>
          <w:sz w:val="32"/>
          <w:szCs w:val="32"/>
        </w:rPr>
        <w:t>三、补贴流程</w:t>
      </w:r>
    </w:p>
    <w:p w14:paraId="1C50A9F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（一）个人申请</w:t>
      </w:r>
    </w:p>
    <w:p w14:paraId="56BE9E2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1.申请主体：符合条件的中度及以上失能老年人本人或其代办人（包括老年人配偶、子女、其他亲属，以及村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社区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工作人员、养老服务机构工作人员等）。</w:t>
      </w:r>
    </w:p>
    <w:p w14:paraId="0362D89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2.申请方式：遵循自愿原则，通过“民政通”（小程序或APP）进行线上注册账号并提交申请。对不便进行线上操作的老年人，各县（区）民政部门须设立线下服务窗口或提供上门协助，确保申请渠道畅通。</w:t>
      </w:r>
    </w:p>
    <w:p w14:paraId="3DEADF9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（二）能力评估</w:t>
      </w:r>
    </w:p>
    <w:p w14:paraId="7654E0F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1.评估组织：由县（区）民政部门委托符合条件的第三方专业评估机构，严格按照国家标准《老年人能力评估规范》（GB/T 42195-2022）组织开展评估工作。</w:t>
      </w:r>
    </w:p>
    <w:p w14:paraId="72E0F8F6">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shd w:val="clear" w:color="auto" w:fill="auto"/>
          <w:lang w:val="en-US" w:eastAsia="zh-CN"/>
        </w:rPr>
      </w:pPr>
      <w:r>
        <w:rPr>
          <w:rFonts w:hint="eastAsia" w:ascii="仿宋_GB2312" w:hAnsi="仿宋_GB2312" w:eastAsia="仿宋_GB2312" w:cs="仿宋_GB2312"/>
          <w:sz w:val="32"/>
          <w:szCs w:val="32"/>
        </w:rPr>
        <w:t>2.评估衔接：</w:t>
      </w:r>
      <w:r>
        <w:rPr>
          <w:rFonts w:hint="eastAsia" w:ascii="仿宋_GB2312" w:hAnsi="仿宋_GB2312" w:eastAsia="仿宋_GB2312" w:cs="仿宋_GB2312"/>
          <w:sz w:val="32"/>
          <w:szCs w:val="32"/>
          <w:highlight w:val="none"/>
          <w:u w:val="none"/>
          <w:lang w:val="en-US" w:eastAsia="zh-CN"/>
        </w:rPr>
        <w:t>2024年7月</w:t>
      </w:r>
      <w:r>
        <w:rPr>
          <w:rFonts w:hint="eastAsia" w:ascii="仿宋_GB2312" w:hAnsi="仿宋_GB2312" w:eastAsia="仿宋_GB2312" w:cs="仿宋_GB2312"/>
          <w:sz w:val="32"/>
          <w:szCs w:val="32"/>
          <w:u w:val="none"/>
          <w:lang w:val="en-US" w:eastAsia="zh-CN"/>
        </w:rPr>
        <w:t>以来已经被评估为中度以上失能老年人可不再重新评估，省民政厅统一将老年人能力评估数据与“民政通”对接。</w:t>
      </w:r>
    </w:p>
    <w:p w14:paraId="77936DD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（三）电子消费券发放</w:t>
      </w:r>
    </w:p>
    <w:p w14:paraId="305881A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1.发放主体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县（区）民政部门</w:t>
      </w:r>
      <w:r>
        <w:rPr>
          <w:rFonts w:hint="eastAsia" w:ascii="仿宋_GB2312" w:hAnsi="仿宋_GB2312" w:eastAsia="仿宋_GB2312" w:cs="仿宋_GB2312"/>
          <w:sz w:val="32"/>
          <w:szCs w:val="32"/>
        </w:rPr>
        <w:t>通过“民政通”平台进行统一发放。</w:t>
      </w:r>
    </w:p>
    <w:p w14:paraId="3E78D0E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2.发放时效：对审核符合条件的申请人，在审核通过后5个工作日内，向其“民政通”个人账户发放首月电子消费券。</w:t>
      </w:r>
    </w:p>
    <w:p w14:paraId="6CE4D5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3.持续发放：自次月起，于每个自然月的首日，自动向符合条件的老年人账户发放当月消费券。</w:t>
      </w:r>
    </w:p>
    <w:p w14:paraId="02AF243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4.动态管理：</w:t>
      </w:r>
      <w:r>
        <w:rPr>
          <w:rFonts w:hint="eastAsia" w:ascii="仿宋_GB2312" w:hAnsi="仿宋_GB2312" w:eastAsia="仿宋_GB2312" w:cs="仿宋_GB2312"/>
          <w:sz w:val="32"/>
          <w:szCs w:val="32"/>
          <w:u w:val="none"/>
          <w:lang w:val="en-US" w:eastAsia="zh-CN"/>
        </w:rPr>
        <w:t>消费券有效期为1个月，当月获得，当月使用，次月失效。</w:t>
      </w:r>
      <w:r>
        <w:rPr>
          <w:rFonts w:hint="eastAsia" w:ascii="仿宋_GB2312" w:hAnsi="仿宋_GB2312" w:eastAsia="仿宋_GB2312" w:cs="仿宋_GB2312"/>
          <w:sz w:val="32"/>
          <w:szCs w:val="32"/>
        </w:rPr>
        <w:t>老年人因身故、能力状况变化等原因不再符合补贴条件的，</w:t>
      </w:r>
      <w:r>
        <w:rPr>
          <w:rFonts w:hint="eastAsia" w:ascii="仿宋_GB2312" w:hAnsi="仿宋_GB2312" w:eastAsia="仿宋_GB2312" w:cs="仿宋_GB2312"/>
          <w:sz w:val="32"/>
          <w:szCs w:val="32"/>
          <w:lang w:val="en-US" w:eastAsia="zh-CN"/>
        </w:rPr>
        <w:t>由其本人、代办人或为老年人提供服务的机构告知县（区）民政部门，</w:t>
      </w:r>
      <w:r>
        <w:rPr>
          <w:rFonts w:hint="eastAsia" w:ascii="仿宋_GB2312" w:hAnsi="仿宋_GB2312" w:eastAsia="仿宋_GB2312" w:cs="仿宋_GB2312"/>
          <w:sz w:val="32"/>
          <w:szCs w:val="32"/>
        </w:rPr>
        <w:t>经核实后，自次月起停止发放。</w:t>
      </w:r>
    </w:p>
    <w:p w14:paraId="51CBC35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（四）电子消费券核销</w:t>
      </w:r>
    </w:p>
    <w:p w14:paraId="00ED1B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1.使用方式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老年人或代办人通过“民政通”平台选择服务项目并下单，在支付环节使用电子消费券抵扣相应金额。</w:t>
      </w:r>
    </w:p>
    <w:p w14:paraId="331E332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2.服务记录与凭证上传</w:t>
      </w:r>
      <w:r>
        <w:rPr>
          <w:rFonts w:hint="eastAsia" w:ascii="仿宋_GB2312" w:hAnsi="仿宋_GB2312" w:eastAsia="仿宋_GB2312" w:cs="仿宋_GB2312"/>
          <w:sz w:val="32"/>
          <w:szCs w:val="32"/>
          <w:u w:val="none"/>
          <w:shd w:val="clear" w:color="auto" w:fill="auto"/>
          <w:lang w:val="en-US" w:eastAsia="zh-CN"/>
        </w:rPr>
        <w:t>（见附件4）</w:t>
      </w:r>
      <w:r>
        <w:rPr>
          <w:rFonts w:hint="eastAsia" w:ascii="仿宋_GB2312" w:hAnsi="仿宋_GB2312" w:eastAsia="仿宋_GB2312" w:cs="仿宋_GB2312"/>
          <w:sz w:val="32"/>
          <w:szCs w:val="32"/>
        </w:rPr>
        <w:t>：</w:t>
      </w:r>
    </w:p>
    <w:p w14:paraId="6AE6D46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（1）评估服务：</w:t>
      </w:r>
      <w:r>
        <w:rPr>
          <w:rFonts w:hint="eastAsia" w:ascii="仿宋_GB2312" w:hAnsi="仿宋_GB2312" w:eastAsia="仿宋_GB2312" w:cs="仿宋_GB2312"/>
          <w:color w:val="auto"/>
          <w:sz w:val="32"/>
          <w:szCs w:val="32"/>
        </w:rPr>
        <w:t>提供服务的</w:t>
      </w:r>
      <w:r>
        <w:rPr>
          <w:rFonts w:hint="eastAsia" w:ascii="仿宋_GB2312" w:hAnsi="仿宋_GB2312" w:eastAsia="仿宋_GB2312" w:cs="仿宋_GB2312"/>
          <w:color w:val="auto"/>
          <w:sz w:val="32"/>
          <w:szCs w:val="32"/>
          <w:lang w:val="en-US" w:eastAsia="zh-CN"/>
        </w:rPr>
        <w:t>评估</w:t>
      </w:r>
      <w:r>
        <w:rPr>
          <w:rFonts w:hint="eastAsia" w:ascii="仿宋_GB2312" w:hAnsi="仿宋_GB2312" w:eastAsia="仿宋_GB2312" w:cs="仿宋_GB2312"/>
          <w:color w:val="auto"/>
          <w:sz w:val="32"/>
          <w:szCs w:val="32"/>
        </w:rPr>
        <w:t>机构须在</w:t>
      </w:r>
      <w:r>
        <w:rPr>
          <w:rFonts w:hint="eastAsia" w:ascii="仿宋_GB2312" w:hAnsi="仿宋_GB2312" w:eastAsia="仿宋_GB2312" w:cs="仿宋_GB2312"/>
          <w:color w:val="auto"/>
          <w:sz w:val="32"/>
          <w:szCs w:val="32"/>
          <w:lang w:val="en-US" w:eastAsia="zh-CN"/>
        </w:rPr>
        <w:t>评估</w:t>
      </w:r>
      <w:r>
        <w:rPr>
          <w:rFonts w:hint="eastAsia" w:ascii="仿宋_GB2312" w:hAnsi="仿宋_GB2312" w:eastAsia="仿宋_GB2312" w:cs="仿宋_GB2312"/>
          <w:color w:val="auto"/>
          <w:sz w:val="32"/>
          <w:szCs w:val="32"/>
        </w:rPr>
        <w:t>完成后，上传</w:t>
      </w:r>
      <w:r>
        <w:rPr>
          <w:rFonts w:hint="eastAsia" w:ascii="仿宋_GB2312" w:hAnsi="仿宋_GB2312" w:eastAsia="仿宋_GB2312" w:cs="仿宋_GB2312"/>
          <w:color w:val="auto"/>
          <w:sz w:val="32"/>
          <w:szCs w:val="32"/>
          <w:lang w:val="en-US" w:eastAsia="zh-CN"/>
        </w:rPr>
        <w:t>评估情况、评估结果</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消费金额、</w:t>
      </w:r>
      <w:r>
        <w:rPr>
          <w:rFonts w:hint="eastAsia" w:ascii="仿宋_GB2312" w:hAnsi="仿宋_GB2312" w:eastAsia="仿宋_GB2312" w:cs="仿宋_GB2312"/>
          <w:color w:val="auto"/>
          <w:sz w:val="32"/>
          <w:szCs w:val="32"/>
        </w:rPr>
        <w:t>收费单据及</w:t>
      </w:r>
      <w:r>
        <w:rPr>
          <w:rFonts w:hint="eastAsia" w:ascii="仿宋_GB2312" w:hAnsi="仿宋_GB2312" w:eastAsia="仿宋_GB2312" w:cs="仿宋_GB2312"/>
          <w:color w:val="auto"/>
          <w:sz w:val="32"/>
          <w:szCs w:val="32"/>
          <w:lang w:val="en-US" w:eastAsia="zh-CN"/>
        </w:rPr>
        <w:t>电子</w:t>
      </w:r>
      <w:r>
        <w:rPr>
          <w:rFonts w:hint="eastAsia" w:ascii="仿宋_GB2312" w:hAnsi="仿宋_GB2312" w:eastAsia="仿宋_GB2312" w:cs="仿宋_GB2312"/>
          <w:color w:val="auto"/>
          <w:sz w:val="32"/>
          <w:szCs w:val="32"/>
        </w:rPr>
        <w:t>消费券核销凭证</w:t>
      </w:r>
      <w:r>
        <w:rPr>
          <w:rFonts w:hint="eastAsia" w:ascii="仿宋_GB2312" w:hAnsi="仿宋_GB2312" w:eastAsia="仿宋_GB2312" w:cs="仿宋_GB2312"/>
          <w:color w:val="auto"/>
          <w:sz w:val="32"/>
          <w:szCs w:val="32"/>
          <w:lang w:val="en-US" w:eastAsia="zh-CN"/>
        </w:rPr>
        <w:t>等材料</w:t>
      </w:r>
      <w:r>
        <w:rPr>
          <w:rFonts w:hint="eastAsia" w:ascii="仿宋_GB2312" w:hAnsi="仿宋_GB2312" w:eastAsia="仿宋_GB2312" w:cs="仿宋_GB2312"/>
          <w:color w:val="auto"/>
          <w:sz w:val="32"/>
          <w:szCs w:val="32"/>
        </w:rPr>
        <w:t>。</w:t>
      </w:r>
    </w:p>
    <w:p w14:paraId="4592471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机构养老服务：提供服务的养老机构须在“民政通”上传入住协议、服务</w:t>
      </w:r>
      <w:r>
        <w:rPr>
          <w:rFonts w:hint="eastAsia" w:ascii="仿宋_GB2312" w:hAnsi="仿宋_GB2312" w:eastAsia="仿宋_GB2312" w:cs="仿宋_GB2312"/>
          <w:sz w:val="32"/>
          <w:szCs w:val="32"/>
          <w:lang w:val="en-US" w:eastAsia="zh-CN"/>
        </w:rPr>
        <w:t>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消费金额</w:t>
      </w:r>
      <w:r>
        <w:rPr>
          <w:rFonts w:hint="eastAsia" w:ascii="仿宋_GB2312" w:hAnsi="仿宋_GB2312" w:eastAsia="仿宋_GB2312" w:cs="仿宋_GB2312"/>
          <w:sz w:val="32"/>
          <w:szCs w:val="32"/>
        </w:rPr>
        <w:t>及</w:t>
      </w:r>
      <w:r>
        <w:rPr>
          <w:rFonts w:hint="eastAsia" w:ascii="仿宋_GB2312" w:hAnsi="仿宋_GB2312" w:eastAsia="仿宋_GB2312" w:cs="仿宋_GB2312"/>
          <w:sz w:val="32"/>
          <w:szCs w:val="32"/>
          <w:lang w:val="en-US" w:eastAsia="zh-CN"/>
        </w:rPr>
        <w:t>电子</w:t>
      </w:r>
      <w:r>
        <w:rPr>
          <w:rFonts w:hint="eastAsia" w:ascii="仿宋_GB2312" w:hAnsi="仿宋_GB2312" w:eastAsia="仿宋_GB2312" w:cs="仿宋_GB2312"/>
          <w:sz w:val="32"/>
          <w:szCs w:val="32"/>
        </w:rPr>
        <w:t>消费券核销凭证</w:t>
      </w:r>
      <w:r>
        <w:rPr>
          <w:rFonts w:hint="eastAsia" w:ascii="仿宋_GB2312" w:hAnsi="仿宋_GB2312" w:eastAsia="仿宋_GB2312" w:cs="仿宋_GB2312"/>
          <w:sz w:val="32"/>
          <w:szCs w:val="32"/>
          <w:lang w:val="en-US" w:eastAsia="zh-CN"/>
        </w:rPr>
        <w:t>等材料</w:t>
      </w:r>
      <w:r>
        <w:rPr>
          <w:rFonts w:hint="eastAsia" w:ascii="仿宋_GB2312" w:hAnsi="仿宋_GB2312" w:eastAsia="仿宋_GB2312" w:cs="仿宋_GB2312"/>
          <w:sz w:val="32"/>
          <w:szCs w:val="32"/>
        </w:rPr>
        <w:t>。</w:t>
      </w:r>
    </w:p>
    <w:p w14:paraId="55C020B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居家社区养老服务：提供服务的社区养老服务机构须在服务完成后，上传服务项目、</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情况、</w:t>
      </w:r>
      <w:r>
        <w:rPr>
          <w:rFonts w:hint="eastAsia" w:ascii="仿宋_GB2312" w:hAnsi="仿宋_GB2312" w:eastAsia="仿宋_GB2312" w:cs="仿宋_GB2312"/>
          <w:sz w:val="32"/>
          <w:szCs w:val="32"/>
          <w:lang w:val="en-US" w:eastAsia="zh-CN"/>
        </w:rPr>
        <w:t>消费金额、</w:t>
      </w:r>
      <w:r>
        <w:rPr>
          <w:rFonts w:hint="eastAsia" w:ascii="仿宋_GB2312" w:hAnsi="仿宋_GB2312" w:eastAsia="仿宋_GB2312" w:cs="仿宋_GB2312"/>
          <w:sz w:val="32"/>
          <w:szCs w:val="32"/>
        </w:rPr>
        <w:t>收费单据及</w:t>
      </w:r>
      <w:r>
        <w:rPr>
          <w:rFonts w:hint="eastAsia" w:ascii="仿宋_GB2312" w:hAnsi="仿宋_GB2312" w:eastAsia="仿宋_GB2312" w:cs="仿宋_GB2312"/>
          <w:sz w:val="32"/>
          <w:szCs w:val="32"/>
          <w:lang w:val="en-US" w:eastAsia="zh-CN"/>
        </w:rPr>
        <w:t>电子</w:t>
      </w:r>
      <w:r>
        <w:rPr>
          <w:rFonts w:hint="eastAsia" w:ascii="仿宋_GB2312" w:hAnsi="仿宋_GB2312" w:eastAsia="仿宋_GB2312" w:cs="仿宋_GB2312"/>
          <w:sz w:val="32"/>
          <w:szCs w:val="32"/>
        </w:rPr>
        <w:t>消费券核销凭证</w:t>
      </w:r>
      <w:r>
        <w:rPr>
          <w:rFonts w:hint="eastAsia" w:ascii="仿宋_GB2312" w:hAnsi="仿宋_GB2312" w:eastAsia="仿宋_GB2312" w:cs="仿宋_GB2312"/>
          <w:sz w:val="32"/>
          <w:szCs w:val="32"/>
          <w:lang w:val="en-US" w:eastAsia="zh-CN"/>
        </w:rPr>
        <w:t>等材料</w:t>
      </w:r>
      <w:r>
        <w:rPr>
          <w:rFonts w:hint="eastAsia" w:ascii="仿宋_GB2312" w:hAnsi="仿宋_GB2312" w:eastAsia="仿宋_GB2312" w:cs="仿宋_GB2312"/>
          <w:sz w:val="32"/>
          <w:szCs w:val="32"/>
        </w:rPr>
        <w:t>。</w:t>
      </w:r>
    </w:p>
    <w:p w14:paraId="68C992E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3.真实性责任：服务机构对上传信息的真实性、准确性负责，并须确保服务实际发生。</w:t>
      </w:r>
    </w:p>
    <w:p w14:paraId="22AF173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（五）资金结算</w:t>
      </w:r>
    </w:p>
    <w:p w14:paraId="497EB68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1.审核流程：</w:t>
      </w:r>
      <w:r>
        <w:rPr>
          <w:rFonts w:hint="eastAsia" w:ascii="仿宋_GB2312" w:hAnsi="仿宋_GB2312" w:eastAsia="仿宋_GB2312" w:cs="仿宋_GB2312"/>
          <w:spacing w:val="1"/>
          <w:sz w:val="32"/>
          <w:szCs w:val="32"/>
        </w:rPr>
        <w:t>各县</w:t>
      </w:r>
      <w:r>
        <w:rPr>
          <w:rFonts w:hint="eastAsia" w:ascii="仿宋_GB2312" w:hAnsi="仿宋_GB2312" w:eastAsia="仿宋_GB2312" w:cs="仿宋_GB2312"/>
          <w:spacing w:val="1"/>
          <w:sz w:val="32"/>
          <w:szCs w:val="32"/>
          <w:lang w:eastAsia="zh-CN"/>
        </w:rPr>
        <w:t>（</w:t>
      </w:r>
      <w:r>
        <w:rPr>
          <w:rFonts w:hint="eastAsia" w:ascii="仿宋_GB2312" w:hAnsi="仿宋_GB2312" w:eastAsia="仿宋_GB2312" w:cs="仿宋_GB2312"/>
          <w:spacing w:val="1"/>
          <w:sz w:val="32"/>
          <w:szCs w:val="32"/>
        </w:rPr>
        <w:t>区</w:t>
      </w:r>
      <w:r>
        <w:rPr>
          <w:rFonts w:hint="eastAsia" w:ascii="仿宋_GB2312" w:hAnsi="仿宋_GB2312" w:eastAsia="仿宋_GB2312" w:cs="仿宋_GB2312"/>
          <w:spacing w:val="1"/>
          <w:sz w:val="32"/>
          <w:szCs w:val="32"/>
          <w:lang w:eastAsia="zh-CN"/>
        </w:rPr>
        <w:t>）</w:t>
      </w:r>
      <w:r>
        <w:rPr>
          <w:rFonts w:hint="eastAsia" w:ascii="仿宋_GB2312" w:hAnsi="仿宋_GB2312" w:eastAsia="仿宋_GB2312" w:cs="仿宋_GB2312"/>
          <w:spacing w:val="1"/>
          <w:sz w:val="32"/>
          <w:szCs w:val="32"/>
        </w:rPr>
        <w:t>民政</w:t>
      </w:r>
      <w:r>
        <w:rPr>
          <w:rFonts w:hint="eastAsia" w:ascii="仿宋_GB2312" w:hAnsi="仿宋_GB2312" w:eastAsia="仿宋_GB2312" w:cs="仿宋_GB2312"/>
          <w:spacing w:val="1"/>
          <w:sz w:val="32"/>
          <w:szCs w:val="32"/>
          <w:lang w:eastAsia="zh-CN"/>
        </w:rPr>
        <w:t>部门</w:t>
      </w:r>
      <w:r>
        <w:rPr>
          <w:rFonts w:hint="eastAsia" w:ascii="仿宋_GB2312" w:hAnsi="仿宋_GB2312" w:eastAsia="仿宋_GB2312" w:cs="仿宋_GB2312"/>
          <w:spacing w:val="1"/>
          <w:sz w:val="32"/>
          <w:szCs w:val="32"/>
        </w:rPr>
        <w:t>指导参与机构使用“民政通”进行服务记录、消费核销、结算申请等，通过“民政通”进行项目审核结算、监督管理等，面向本地区参与机构进行资金结算。</w:t>
      </w:r>
      <w:r>
        <w:rPr>
          <w:rFonts w:hint="eastAsia" w:ascii="仿宋_GB2312" w:hAnsi="仿宋_GB2312" w:eastAsia="仿宋_GB2312" w:cs="仿宋_GB2312"/>
          <w:color w:val="auto"/>
          <w:sz w:val="32"/>
          <w:szCs w:val="32"/>
        </w:rPr>
        <w:t>县（区）民政部门</w:t>
      </w:r>
      <w:r>
        <w:rPr>
          <w:rFonts w:hint="eastAsia" w:ascii="仿宋_GB2312" w:hAnsi="仿宋_GB2312" w:eastAsia="仿宋_GB2312" w:cs="仿宋_GB2312"/>
          <w:color w:val="auto"/>
          <w:sz w:val="32"/>
          <w:szCs w:val="32"/>
          <w:lang w:eastAsia="zh-CN"/>
        </w:rPr>
        <w:t>原则上应</w:t>
      </w:r>
      <w:r>
        <w:rPr>
          <w:rFonts w:hint="eastAsia" w:ascii="仿宋_GB2312" w:hAnsi="仿宋_GB2312" w:eastAsia="仿宋_GB2312" w:cs="仿宋_GB2312"/>
          <w:color w:val="auto"/>
          <w:sz w:val="32"/>
          <w:szCs w:val="32"/>
        </w:rPr>
        <w:t>于次月10个工作日内，通过“民政通”平台完成对上月消费券核销情况的审</w:t>
      </w:r>
      <w:r>
        <w:rPr>
          <w:rFonts w:hint="eastAsia" w:ascii="仿宋_GB2312" w:hAnsi="仿宋_GB2312" w:eastAsia="仿宋_GB2312" w:cs="仿宋_GB2312"/>
          <w:color w:val="auto"/>
          <w:sz w:val="32"/>
          <w:szCs w:val="32"/>
          <w:lang w:val="en-US" w:eastAsia="zh-CN"/>
        </w:rPr>
        <w:t>核</w:t>
      </w:r>
      <w:r>
        <w:rPr>
          <w:rFonts w:hint="eastAsia" w:ascii="仿宋_GB2312" w:hAnsi="仿宋_GB2312" w:eastAsia="仿宋_GB2312" w:cs="仿宋_GB2312"/>
          <w:color w:val="auto"/>
          <w:sz w:val="32"/>
          <w:szCs w:val="32"/>
        </w:rPr>
        <w:t>，并提交同级财政部门复审。</w:t>
      </w:r>
    </w:p>
    <w:p w14:paraId="1F482961">
      <w:pPr>
        <w:keepNext w:val="0"/>
        <w:keepLines w:val="0"/>
        <w:pageBreakBefore w:val="0"/>
        <w:widowControl w:val="0"/>
        <w:numPr>
          <w:ilvl w:val="0"/>
          <w:numId w:val="0"/>
        </w:numPr>
        <w:kinsoku/>
        <w:wordWrap/>
        <w:overflowPunct w:val="0"/>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color w:val="auto"/>
          <w:sz w:val="32"/>
          <w:szCs w:val="32"/>
        </w:rPr>
        <w:t>2.复审拨付：县（区）财政部门在收到审</w:t>
      </w:r>
      <w:r>
        <w:rPr>
          <w:rFonts w:hint="eastAsia" w:ascii="仿宋_GB2312" w:hAnsi="仿宋_GB2312" w:eastAsia="仿宋_GB2312" w:cs="仿宋_GB2312"/>
          <w:color w:val="auto"/>
          <w:sz w:val="32"/>
          <w:szCs w:val="32"/>
          <w:lang w:val="en-US" w:eastAsia="zh-CN"/>
        </w:rPr>
        <w:t>核</w:t>
      </w:r>
      <w:r>
        <w:rPr>
          <w:rFonts w:hint="eastAsia" w:ascii="仿宋_GB2312" w:hAnsi="仿宋_GB2312" w:eastAsia="仿宋_GB2312" w:cs="仿宋_GB2312"/>
          <w:color w:val="auto"/>
          <w:sz w:val="32"/>
          <w:szCs w:val="32"/>
        </w:rPr>
        <w:t>结果后5个工作日内完成复审，并将复审结果反馈县（区）民政部门。县（区）民政部门</w:t>
      </w:r>
      <w:r>
        <w:rPr>
          <w:rFonts w:hint="eastAsia" w:ascii="仿宋_GB2312" w:hAnsi="仿宋_GB2312" w:eastAsia="仿宋_GB2312" w:cs="仿宋_GB2312"/>
          <w:sz w:val="32"/>
          <w:szCs w:val="32"/>
          <w:u w:val="none"/>
          <w:lang w:val="en-US" w:eastAsia="zh-CN"/>
        </w:rPr>
        <w:t>应于收到复审结果后的3个工作日内向参与服务机构结算经核定后的上一个</w:t>
      </w:r>
      <w:r>
        <w:rPr>
          <w:rFonts w:hint="default" w:ascii="仿宋_GB2312" w:hAnsi="仿宋_GB2312" w:eastAsia="仿宋_GB2312" w:cs="仿宋_GB2312"/>
          <w:sz w:val="32"/>
          <w:szCs w:val="32"/>
          <w:u w:val="none"/>
          <w:lang w:val="en-US" w:eastAsia="zh-CN"/>
        </w:rPr>
        <w:t>月</w:t>
      </w:r>
      <w:r>
        <w:rPr>
          <w:rFonts w:hint="eastAsia" w:ascii="仿宋_GB2312" w:hAnsi="仿宋_GB2312" w:eastAsia="仿宋_GB2312" w:cs="仿宋_GB2312"/>
          <w:sz w:val="32"/>
          <w:szCs w:val="32"/>
          <w:u w:val="none"/>
          <w:lang w:val="en-US" w:eastAsia="zh-CN"/>
        </w:rPr>
        <w:t>电子消费券抵扣费用。</w:t>
      </w:r>
    </w:p>
    <w:p w14:paraId="32E228F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四、工作流程</w:t>
      </w:r>
    </w:p>
    <w:p w14:paraId="7DCAC989">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1.调研测算资金。各县（区）民政、财政部门要结合本地区老年人口、养老服务机构、老年人能力评估等情况，对老年人参与消费补贴项目情况进行调研和测算，预估所需资金额度。</w:t>
      </w:r>
    </w:p>
    <w:p w14:paraId="227B4BF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.遴选</w:t>
      </w:r>
      <w:r>
        <w:rPr>
          <w:rFonts w:hint="eastAsia" w:ascii="仿宋_GB2312" w:hAnsi="仿宋_GB2312" w:eastAsia="仿宋_GB2312" w:cs="仿宋_GB2312"/>
          <w:color w:val="auto"/>
          <w:sz w:val="32"/>
          <w:szCs w:val="32"/>
          <w:lang w:eastAsia="zh-CN"/>
        </w:rPr>
        <w:t>参与</w:t>
      </w:r>
      <w:r>
        <w:rPr>
          <w:rFonts w:hint="eastAsia" w:ascii="仿宋_GB2312" w:hAnsi="仿宋_GB2312" w:eastAsia="仿宋_GB2312" w:cs="仿宋_GB2312"/>
          <w:color w:val="auto"/>
          <w:sz w:val="32"/>
          <w:szCs w:val="32"/>
        </w:rPr>
        <w:t>机构</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0"/>
          <w:sz w:val="32"/>
          <w:szCs w:val="32"/>
          <w:lang w:val="en-US" w:eastAsia="zh-CN" w:bidi="ar"/>
        </w:rPr>
        <w:t>市民政局统一向社会发布征集向中度以上失能老年人发放养老服务消费补贴项目参与机构的公告；</w:t>
      </w:r>
      <w:r>
        <w:rPr>
          <w:rFonts w:hint="eastAsia" w:ascii="仿宋_GB2312" w:hAnsi="仿宋_GB2312" w:eastAsia="仿宋_GB2312" w:cs="仿宋_GB2312"/>
          <w:color w:val="auto"/>
          <w:sz w:val="32"/>
          <w:szCs w:val="32"/>
          <w:u w:val="none"/>
          <w:lang w:val="en-US" w:eastAsia="zh-CN"/>
        </w:rPr>
        <w:t>县（区）民政部门按照民政部、财政部要求组织开展参与机构申报和遴选工作，确定参与机构并组织签订《诚信承诺书》（附件1、2），报市民政局统一面向社会公示。后续根据实际情况适时公布新增、退出的参与机构名单。</w:t>
      </w:r>
    </w:p>
    <w:p w14:paraId="5941B7E0">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3.确定服务项目。</w:t>
      </w:r>
      <w:r>
        <w:rPr>
          <w:rFonts w:hint="eastAsia" w:ascii="仿宋_GB2312" w:hAnsi="仿宋_GB2312" w:eastAsia="仿宋_GB2312" w:cs="仿宋_GB2312"/>
          <w:sz w:val="32"/>
          <w:szCs w:val="32"/>
          <w:u w:val="none"/>
          <w:lang w:val="en-US" w:eastAsia="zh-CN"/>
        </w:rPr>
        <w:t>各县（区）民政部门指导参与机构根据国家文件要求和机构自身情况确定承接服务项目，合理、合法、合规对服务项目进行市场化定价。所有服务项目信息要报各县（区）民政局备案（备案表模板见附件3），原则上项目期间不得随意调整服务项目定价。</w:t>
      </w:r>
    </w:p>
    <w:p w14:paraId="7D259E27">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4.完善数据信息。</w:t>
      </w:r>
      <w:r>
        <w:rPr>
          <w:rFonts w:hint="eastAsia" w:ascii="仿宋_GB2312" w:hAnsi="仿宋_GB2312" w:eastAsia="仿宋_GB2312" w:cs="仿宋_GB2312"/>
          <w:sz w:val="32"/>
          <w:szCs w:val="32"/>
          <w:u w:val="none"/>
          <w:lang w:val="en-US" w:eastAsia="zh-CN"/>
        </w:rPr>
        <w:t>各县（区）民政部门在确定参与机构的同时，要检查其在全国养老服务信息平台信息登记情况，指导参与机构完成机构备案，填写发布信息、资格认定信息等，为机构管理员创建账号，并对所有相关信息进行审核。各县（区）民政部门要做好项目相关信息的收集、处理和使用等工作，落实信息安全责任，动态监测项目信息变化，定期开展相关数据汇总分析，为做好项目绩效评价、及时调整优化实施方案提供必要支持。</w:t>
      </w:r>
    </w:p>
    <w:p w14:paraId="0D351120">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sz w:val="32"/>
          <w:szCs w:val="32"/>
          <w:lang w:val="en-US" w:eastAsia="zh-CN"/>
        </w:rPr>
        <w:t>5.开展业务培训。</w:t>
      </w:r>
      <w:r>
        <w:rPr>
          <w:rFonts w:hint="eastAsia" w:ascii="仿宋_GB2312" w:hAnsi="仿宋_GB2312" w:eastAsia="仿宋_GB2312" w:cs="仿宋_GB2312"/>
          <w:sz w:val="32"/>
          <w:szCs w:val="32"/>
          <w:u w:val="none"/>
          <w:lang w:val="en-US" w:eastAsia="zh-CN"/>
        </w:rPr>
        <w:t>市民政局将根据国家、省统一要求，开展全国养老服务信息平台管理端使用培训，各县（区）民政部门组织对机构人员开展机构端操作培训。各县（区）民政部门指导相关单位配合对各业务环节进行测试，发现问题及时反馈。</w:t>
      </w:r>
    </w:p>
    <w:p w14:paraId="78E1B04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w:t>
      </w:r>
      <w:r>
        <w:rPr>
          <w:rFonts w:hint="eastAsia" w:ascii="黑体" w:hAnsi="黑体" w:eastAsia="黑体" w:cs="黑体"/>
          <w:sz w:val="32"/>
          <w:szCs w:val="32"/>
          <w:u w:val="none"/>
          <w:lang w:val="en-US" w:eastAsia="zh-CN"/>
        </w:rPr>
        <w:t>资金安排</w:t>
      </w:r>
    </w:p>
    <w:p w14:paraId="1D3E3F92">
      <w:pPr>
        <w:keepNext w:val="0"/>
        <w:keepLines w:val="0"/>
        <w:pageBreakBefore w:val="0"/>
        <w:wordWrap/>
        <w:topLinePunct w:val="0"/>
        <w:autoSpaceDE w:val="0"/>
        <w:bidi w:val="0"/>
        <w:spacing w:line="600" w:lineRule="exact"/>
        <w:ind w:firstLine="640" w:firstLineChars="200"/>
        <w:jc w:val="both"/>
        <w:rPr>
          <w:rFonts w:hint="eastAsia" w:ascii="仿宋" w:hAnsi="仿宋" w:eastAsia="仿宋" w:cs="仿宋"/>
          <w:sz w:val="32"/>
          <w:szCs w:val="32"/>
        </w:rPr>
      </w:pPr>
      <w:r>
        <w:rPr>
          <w:rFonts w:hint="eastAsia" w:ascii="仿宋_GB2312" w:hAnsi="仿宋_GB2312" w:eastAsia="仿宋_GB2312" w:cs="仿宋_GB2312"/>
          <w:sz w:val="32"/>
          <w:szCs w:val="32"/>
          <w:u w:val="none"/>
          <w:shd w:val="clear" w:color="auto" w:fill="auto"/>
          <w:lang w:val="en-US" w:eastAsia="zh-CN"/>
        </w:rPr>
        <w:t>养老服务消费补贴资金按照中央财政承担90%、省级配套资金承担6%、地方配套资金承担4%的比例执行。其中，地方配套</w:t>
      </w:r>
      <w:r>
        <w:rPr>
          <w:rFonts w:hint="eastAsia" w:ascii="仿宋_GB2312" w:eastAsia="仿宋_GB2312"/>
          <w:color w:val="000000"/>
          <w:sz w:val="32"/>
          <w:szCs w:val="32"/>
          <w:u w:val="none"/>
          <w:shd w:val="clear" w:color="auto" w:fill="auto"/>
        </w:rPr>
        <w:t>资金</w:t>
      </w:r>
      <w:r>
        <w:rPr>
          <w:rFonts w:hint="eastAsia" w:ascii="仿宋_GB2312" w:eastAsia="仿宋_GB2312"/>
          <w:color w:val="000000"/>
          <w:sz w:val="32"/>
          <w:szCs w:val="32"/>
          <w:u w:val="none"/>
          <w:shd w:val="clear" w:color="auto" w:fill="auto"/>
          <w:lang w:eastAsia="zh-CN"/>
        </w:rPr>
        <w:t>按照市县</w:t>
      </w:r>
      <w:r>
        <w:rPr>
          <w:rFonts w:hint="eastAsia" w:ascii="仿宋_GB2312" w:eastAsia="仿宋_GB2312"/>
          <w:color w:val="000000"/>
          <w:sz w:val="32"/>
          <w:szCs w:val="32"/>
          <w:u w:val="none"/>
          <w:shd w:val="clear" w:color="auto" w:fill="auto"/>
          <w:lang w:val="en-US" w:eastAsia="zh-CN"/>
        </w:rPr>
        <w:t>2:8、市区1:1</w:t>
      </w:r>
      <w:r>
        <w:rPr>
          <w:rFonts w:hint="eastAsia" w:ascii="仿宋_GB2312" w:eastAsia="仿宋_GB2312"/>
          <w:color w:val="000000"/>
          <w:sz w:val="32"/>
          <w:szCs w:val="32"/>
          <w:u w:val="none"/>
          <w:shd w:val="clear" w:color="auto" w:fill="auto"/>
        </w:rPr>
        <w:t>比例</w:t>
      </w:r>
      <w:r>
        <w:rPr>
          <w:rFonts w:hint="eastAsia" w:ascii="仿宋_GB2312" w:eastAsia="仿宋_GB2312"/>
          <w:color w:val="000000"/>
          <w:sz w:val="32"/>
          <w:szCs w:val="32"/>
          <w:u w:val="none"/>
          <w:shd w:val="clear" w:color="auto" w:fill="auto"/>
          <w:lang w:val="en-US" w:eastAsia="zh-CN"/>
        </w:rPr>
        <w:t>执行</w:t>
      </w:r>
      <w:r>
        <w:rPr>
          <w:rFonts w:hint="eastAsia" w:ascii="仿宋_GB2312" w:eastAsia="仿宋_GB2312"/>
          <w:color w:val="000000"/>
          <w:sz w:val="32"/>
          <w:szCs w:val="32"/>
          <w:u w:val="none"/>
          <w:shd w:val="clear" w:color="auto" w:fill="auto"/>
        </w:rPr>
        <w:t>。</w:t>
      </w:r>
    </w:p>
    <w:p w14:paraId="0C69DF6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w:t>
      </w:r>
      <w:r>
        <w:rPr>
          <w:rFonts w:hint="eastAsia" w:ascii="黑体" w:hAnsi="黑体" w:eastAsia="黑体" w:cs="黑体"/>
          <w:color w:val="auto"/>
          <w:sz w:val="32"/>
          <w:szCs w:val="32"/>
        </w:rPr>
        <w:t>、机构</w:t>
      </w:r>
      <w:r>
        <w:rPr>
          <w:rFonts w:hint="eastAsia" w:ascii="黑体" w:hAnsi="黑体" w:eastAsia="黑体" w:cs="黑体"/>
          <w:color w:val="auto"/>
          <w:sz w:val="32"/>
          <w:szCs w:val="32"/>
          <w:lang w:val="en-US" w:eastAsia="zh-CN"/>
        </w:rPr>
        <w:t>要求</w:t>
      </w:r>
    </w:p>
    <w:p w14:paraId="4BCC0D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电子消费券适用于依法开办、自愿参与、信誉良好的养老机构、社区养老服务机构、第三方专业评估机构。</w:t>
      </w:r>
      <w:r>
        <w:rPr>
          <w:rFonts w:hint="eastAsia" w:ascii="仿宋_GB2312" w:hAnsi="仿宋_GB2312" w:eastAsia="仿宋_GB2312" w:cs="仿宋_GB2312"/>
          <w:b w:val="0"/>
          <w:bCs w:val="0"/>
          <w:color w:val="000000"/>
          <w:sz w:val="32"/>
          <w:szCs w:val="32"/>
          <w:highlight w:val="none"/>
          <w:lang w:eastAsia="zh-CN"/>
        </w:rPr>
        <w:t>正</w:t>
      </w:r>
      <w:r>
        <w:rPr>
          <w:rFonts w:hint="eastAsia" w:ascii="仿宋_GB2312" w:hAnsi="仿宋_GB2312" w:eastAsia="仿宋_GB2312" w:cs="仿宋_GB2312"/>
          <w:sz w:val="32"/>
          <w:szCs w:val="32"/>
          <w:lang w:val="en-US" w:eastAsia="zh-CN"/>
        </w:rPr>
        <w:t>被纳入失信联合惩戒对象名单的服务机构、安全生产中存在重大问题正在整改中的养老服务机构不纳入电子消费券适用机构范围。</w:t>
      </w:r>
    </w:p>
    <w:p w14:paraId="7798D35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（一）养老机构</w:t>
      </w:r>
    </w:p>
    <w:p w14:paraId="74E2B53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1.应依法办理登记并在民政部门备案，且具有收住中度以上失能老年人的服务能力。</w:t>
      </w:r>
    </w:p>
    <w:p w14:paraId="0649810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2.承诺严格执行相关法律法规及《养老机构服务安全基本规范（GB38600-2019）等强制性标准要求。</w:t>
      </w:r>
    </w:p>
    <w:p w14:paraId="3DAA13A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sz w:val="32"/>
          <w:szCs w:val="32"/>
          <w:u w:val="none"/>
          <w:lang w:val="en-US" w:eastAsia="zh-CN"/>
        </w:rPr>
        <w:t>县（区）</w:t>
      </w:r>
      <w:r>
        <w:rPr>
          <w:rFonts w:hint="eastAsia" w:ascii="仿宋_GB2312" w:hAnsi="仿宋_GB2312" w:eastAsia="仿宋_GB2312" w:cs="仿宋_GB2312"/>
          <w:color w:val="auto"/>
          <w:sz w:val="32"/>
          <w:szCs w:val="32"/>
          <w:lang w:val="en-US" w:eastAsia="zh-CN"/>
        </w:rPr>
        <w:t>民政部门认定的其他条件。</w:t>
      </w:r>
    </w:p>
    <w:p w14:paraId="255E1A3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（二）社区养老服务机构</w:t>
      </w:r>
    </w:p>
    <w:p w14:paraId="3DD4630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1.应依法办理登记，经营范围或业务范围应包括养老服务，且具有为中度及以上失能老年人提供相应服务的能力。</w:t>
      </w:r>
    </w:p>
    <w:p w14:paraId="21AF48B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sz w:val="32"/>
          <w:szCs w:val="32"/>
          <w:u w:val="none"/>
          <w:lang w:val="en-US" w:eastAsia="zh-CN"/>
        </w:rPr>
        <w:t>县（区）</w:t>
      </w:r>
      <w:r>
        <w:rPr>
          <w:rFonts w:hint="eastAsia" w:ascii="仿宋_GB2312" w:hAnsi="仿宋_GB2312" w:eastAsia="仿宋_GB2312" w:cs="仿宋_GB2312"/>
          <w:color w:val="auto"/>
          <w:sz w:val="32"/>
          <w:szCs w:val="32"/>
          <w:lang w:val="en-US" w:eastAsia="zh-CN"/>
        </w:rPr>
        <w:t>民政部门认定的其他条件。</w:t>
      </w:r>
    </w:p>
    <w:p w14:paraId="46A98FD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（三）民政部门委托的第三方专业评估机构</w:t>
      </w:r>
    </w:p>
    <w:p w14:paraId="492EB2A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应符合《老年人能力评估规范》</w:t>
      </w:r>
      <w:r>
        <w:rPr>
          <w:rFonts w:hint="eastAsia" w:ascii="仿宋_GB2312" w:hAnsi="仿宋_GB2312" w:eastAsia="仿宋_GB2312" w:cs="仿宋_GB2312"/>
          <w:sz w:val="32"/>
          <w:szCs w:val="32"/>
          <w:lang w:val="en-US" w:eastAsia="zh-CN"/>
        </w:rPr>
        <w:t>（</w:t>
      </w:r>
      <w:r>
        <w:rPr>
          <w:rFonts w:hint="default" w:ascii="Times New Roman" w:hAnsi="Times New Roman" w:eastAsia="仿宋_GB2312" w:cs="Times New Roman"/>
          <w:sz w:val="32"/>
          <w:szCs w:val="32"/>
          <w:u w:val="none"/>
          <w:lang w:val="en-US" w:eastAsia="zh-CN"/>
        </w:rPr>
        <w:t>GB/T42195-2022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z w:val="32"/>
          <w:szCs w:val="32"/>
          <w:lang w:val="en-US" w:eastAsia="zh-CN"/>
        </w:rPr>
        <w:t>《关于规范全省老年人能力评估机构管理的指导意见》（辽民发〔2025〕52号）关于评估主体的有关要求，且不能参与提供由本项目补贴的养老服务。</w:t>
      </w:r>
    </w:p>
    <w:p w14:paraId="4A87695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七</w:t>
      </w:r>
      <w:r>
        <w:rPr>
          <w:rFonts w:hint="eastAsia" w:ascii="黑体" w:hAnsi="黑体" w:eastAsia="黑体" w:cs="黑体"/>
          <w:sz w:val="32"/>
          <w:szCs w:val="32"/>
        </w:rPr>
        <w:t>、监督管理</w:t>
      </w:r>
    </w:p>
    <w:p w14:paraId="7CEAECE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（一）强化资金使用全过程监管。</w:t>
      </w:r>
      <w:r>
        <w:rPr>
          <w:rFonts w:hint="eastAsia" w:ascii="仿宋_GB2312" w:hAnsi="仿宋_GB2312" w:eastAsia="仿宋_GB2312" w:cs="仿宋_GB2312"/>
          <w:sz w:val="32"/>
          <w:szCs w:val="32"/>
          <w:lang w:val="en-US" w:eastAsia="zh-CN"/>
        </w:rPr>
        <w:t>市、县（区）民政、财政部门应加强对补贴资金申请、审核、拨付及使用的全链条监管。市级层面通过跨部门数据比对核验，指导县（区）对异常交易进行动态预警，防范重复享受待遇、虚假交易及骗补套补行为；会同财政部门足额落实配套资金，及时督促拨付，严防上级资金被挤占挪用。县（区）层面须细化风险防控措施，利用系统预警功能，守牢资金安全红线。</w:t>
      </w:r>
    </w:p>
    <w:p w14:paraId="7104EAB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highlight w:val="none"/>
          <w:u w:val="none"/>
        </w:rPr>
      </w:pPr>
      <w:r>
        <w:rPr>
          <w:rFonts w:hint="eastAsia" w:ascii="楷体_GB2312" w:hAnsi="楷体_GB2312" w:eastAsia="楷体_GB2312" w:cs="楷体_GB2312"/>
          <w:sz w:val="32"/>
          <w:szCs w:val="32"/>
          <w:lang w:val="en-US" w:eastAsia="zh-CN"/>
        </w:rPr>
        <w:t>（二）强化参与机构服务质量监管。</w:t>
      </w:r>
      <w:r>
        <w:rPr>
          <w:rFonts w:hint="eastAsia" w:ascii="仿宋_GB2312" w:hAnsi="仿宋_GB2312" w:eastAsia="仿宋_GB2312" w:cs="仿宋_GB2312"/>
          <w:sz w:val="32"/>
          <w:szCs w:val="32"/>
          <w:lang w:val="en-US" w:eastAsia="zh-CN"/>
        </w:rPr>
        <w:t>县（区）民政部门须与评估机构签订协议，明确权责。</w:t>
      </w:r>
      <w:r>
        <w:rPr>
          <w:rFonts w:hint="eastAsia" w:ascii="仿宋_GB2312" w:hAnsi="仿宋_GB2312" w:eastAsia="仿宋_GB2312" w:cs="仿宋_GB2312"/>
          <w:sz w:val="32"/>
          <w:szCs w:val="32"/>
          <w:u w:val="none"/>
          <w:lang w:val="en-US" w:eastAsia="zh-CN"/>
        </w:rPr>
        <w:t>组织开展老年人能力评估工作时，要坚持自愿申请原则，</w:t>
      </w:r>
      <w:r>
        <w:rPr>
          <w:rFonts w:hint="eastAsia" w:ascii="仿宋_GB2312" w:eastAsia="仿宋_GB2312"/>
          <w:sz w:val="32"/>
          <w:szCs w:val="32"/>
          <w:highlight w:val="none"/>
          <w:u w:val="none"/>
        </w:rPr>
        <w:t>评估过程应全程录像，由评估机构妥善</w:t>
      </w:r>
      <w:r>
        <w:rPr>
          <w:rFonts w:hint="eastAsia" w:ascii="仿宋_GB2312" w:eastAsia="仿宋_GB2312"/>
          <w:sz w:val="32"/>
          <w:szCs w:val="32"/>
          <w:highlight w:val="none"/>
          <w:u w:val="none"/>
          <w:lang w:eastAsia="zh-CN"/>
        </w:rPr>
        <w:t>归档</w:t>
      </w:r>
      <w:r>
        <w:rPr>
          <w:rFonts w:hint="eastAsia" w:ascii="仿宋_GB2312" w:eastAsia="仿宋_GB2312"/>
          <w:sz w:val="32"/>
          <w:szCs w:val="32"/>
          <w:highlight w:val="none"/>
          <w:u w:val="none"/>
        </w:rPr>
        <w:t>保管，以备接续评估、争议处理或监督检查</w:t>
      </w:r>
      <w:r>
        <w:rPr>
          <w:rFonts w:hint="eastAsia" w:ascii="仿宋_GB2312" w:eastAsia="仿宋_GB2312"/>
          <w:sz w:val="32"/>
          <w:szCs w:val="32"/>
          <w:highlight w:val="none"/>
          <w:u w:val="none"/>
          <w:lang w:eastAsia="zh-CN"/>
        </w:rPr>
        <w:t>等</w:t>
      </w:r>
      <w:r>
        <w:rPr>
          <w:rFonts w:hint="eastAsia" w:ascii="仿宋_GB2312" w:eastAsia="仿宋_GB2312"/>
          <w:sz w:val="32"/>
          <w:szCs w:val="32"/>
          <w:highlight w:val="none"/>
          <w:u w:val="none"/>
        </w:rPr>
        <w:t>。</w:t>
      </w:r>
    </w:p>
    <w:p w14:paraId="49592CD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各县（区）民政部门应加强对参与机构服务质量的抽查检查，防范出现虚假服务、以次充好等行为。面向社会公开项目咨询电话、监督举报渠道，接受社会各界和群众监督。对发现参与机构或老年人不符合有关要求，存在“先涨价后抵扣”、骗取套取补贴资金等行为的，要现场核查，</w:t>
      </w:r>
      <w:r>
        <w:rPr>
          <w:rFonts w:hint="eastAsia" w:ascii="仿宋_GB2312" w:hAnsi="仿宋_GB2312" w:eastAsia="仿宋_GB2312" w:cs="仿宋_GB2312"/>
          <w:b w:val="0"/>
          <w:bCs w:val="0"/>
          <w:i w:val="0"/>
          <w:caps w:val="0"/>
          <w:color w:val="auto"/>
          <w:spacing w:val="0"/>
          <w:sz w:val="32"/>
          <w:szCs w:val="32"/>
          <w:highlight w:val="none"/>
          <w:shd w:val="clear" w:color="auto" w:fill="FFFFFF"/>
          <w:lang w:val="en-US" w:eastAsia="zh-CN"/>
        </w:rPr>
        <w:t>一经查实取消违规机构项目参与资格</w:t>
      </w:r>
      <w:r>
        <w:rPr>
          <w:rFonts w:hint="eastAsia" w:ascii="仿宋_GB2312" w:hAnsi="仿宋_GB2312" w:eastAsia="仿宋_GB2312" w:cs="仿宋_GB2312"/>
          <w:sz w:val="32"/>
          <w:szCs w:val="32"/>
          <w:u w:val="none"/>
          <w:lang w:val="en-US" w:eastAsia="zh-CN"/>
        </w:rPr>
        <w:t>，追缴补贴资金，并依法依规严肃追究相关人员责任。</w:t>
      </w:r>
    </w:p>
    <w:p w14:paraId="30CDB386">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val="en-US" w:eastAsia="zh-CN"/>
        </w:rPr>
      </w:pPr>
      <w:r>
        <w:rPr>
          <w:rFonts w:hint="eastAsia" w:ascii="楷体_GB2312" w:hAnsi="楷体_GB2312" w:eastAsia="楷体_GB2312" w:cs="楷体_GB2312"/>
          <w:color w:val="auto"/>
          <w:sz w:val="32"/>
          <w:szCs w:val="32"/>
          <w:u w:val="none"/>
          <w:lang w:val="en-US" w:eastAsia="zh-CN"/>
        </w:rPr>
        <w:t>（三）强化项目全流程监管。</w:t>
      </w:r>
      <w:r>
        <w:rPr>
          <w:rFonts w:hint="eastAsia" w:ascii="仿宋_GB2312" w:hAnsi="仿宋_GB2312" w:eastAsia="仿宋_GB2312" w:cs="仿宋_GB2312"/>
          <w:color w:val="auto"/>
          <w:sz w:val="32"/>
          <w:szCs w:val="32"/>
          <w:u w:val="none"/>
          <w:lang w:val="en-US" w:eastAsia="zh-CN"/>
        </w:rPr>
        <w:t>各县（区）民政、财政部门可通过政府采购方式引入第三方督导与审计机构，</w:t>
      </w:r>
      <w:r>
        <w:rPr>
          <w:rFonts w:hint="eastAsia" w:ascii="仿宋_GB2312" w:hAnsi="仿宋_GB2312" w:eastAsia="仿宋_GB2312" w:cs="仿宋_GB2312"/>
          <w:color w:val="auto"/>
          <w:sz w:val="32"/>
          <w:szCs w:val="32"/>
          <w:lang w:val="en-US" w:eastAsia="zh-CN"/>
        </w:rPr>
        <w:t>对项目实施全流程开展专业化、独立性监管，检查参与机构提供服务是否真实、消费券核销情况是否符合相关要求等。</w:t>
      </w:r>
      <w:r>
        <w:rPr>
          <w:rFonts w:hint="eastAsia" w:ascii="仿宋_GB2312" w:hAnsi="仿宋_GB2312" w:eastAsia="仿宋_GB2312" w:cs="仿宋_GB2312"/>
          <w:color w:val="auto"/>
          <w:sz w:val="32"/>
          <w:szCs w:val="32"/>
          <w:u w:val="none"/>
          <w:lang w:val="en-US" w:eastAsia="zh-CN"/>
        </w:rPr>
        <w:t>督导机构应切实履行审计与监督指导职责，定期出具评估报告，如实反映发现的问题，并提出相应改进建议</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u w:val="none"/>
          <w:lang w:val="en-US" w:eastAsia="zh-CN"/>
        </w:rPr>
        <w:t>相关费用由各县（区）自行承担，不得从消费补贴项目资金中列支，确保过程规范公正、结果真实可靠。</w:t>
      </w:r>
    </w:p>
    <w:p w14:paraId="089C1FD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八、工作要求</w:t>
      </w:r>
    </w:p>
    <w:p w14:paraId="11DE95B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（一）强化组织领导，压实工作责任。</w:t>
      </w:r>
      <w:r>
        <w:rPr>
          <w:rFonts w:hint="eastAsia" w:ascii="仿宋_GB2312" w:hAnsi="仿宋_GB2312" w:eastAsia="仿宋_GB2312" w:cs="仿宋_GB2312"/>
          <w:sz w:val="32"/>
          <w:szCs w:val="32"/>
          <w:lang w:val="en-US" w:eastAsia="zh-CN"/>
        </w:rPr>
        <w:t>市、县（区）要深刻认识实施养老服务消费补贴项目的重要意义，成立市、县（区）两级专项工作专班，由民政部门牵头，明确职责分工，加强人员培训与资源统筹，</w:t>
      </w:r>
      <w:r>
        <w:rPr>
          <w:rFonts w:hint="default" w:ascii="Times New Roman" w:hAnsi="Times New Roman" w:eastAsia="仿宋_GB2312" w:cs="Times New Roman"/>
          <w:i w:val="0"/>
          <w:caps w:val="0"/>
          <w:color w:val="auto"/>
          <w:spacing w:val="0"/>
          <w:sz w:val="32"/>
          <w:szCs w:val="32"/>
          <w:highlight w:val="none"/>
          <w:shd w:val="clear" w:color="auto" w:fill="FFFFFF"/>
          <w:lang w:eastAsia="zh-CN"/>
        </w:rPr>
        <w:t>保障项目稳妥</w:t>
      </w:r>
      <w:r>
        <w:rPr>
          <w:rFonts w:hint="eastAsia" w:ascii="Times New Roman" w:hAnsi="Times New Roman" w:eastAsia="仿宋_GB2312" w:cs="Times New Roman"/>
          <w:i w:val="0"/>
          <w:caps w:val="0"/>
          <w:color w:val="auto"/>
          <w:spacing w:val="0"/>
          <w:sz w:val="32"/>
          <w:szCs w:val="32"/>
          <w:highlight w:val="none"/>
          <w:shd w:val="clear" w:color="auto" w:fill="FFFFFF"/>
          <w:lang w:eastAsia="zh-CN"/>
        </w:rPr>
        <w:t>、</w:t>
      </w:r>
      <w:r>
        <w:rPr>
          <w:rFonts w:hint="eastAsia" w:ascii="Times New Roman" w:hAnsi="Times New Roman" w:eastAsia="仿宋_GB2312" w:cs="Times New Roman"/>
          <w:i w:val="0"/>
          <w:caps w:val="0"/>
          <w:color w:val="auto"/>
          <w:spacing w:val="0"/>
          <w:sz w:val="32"/>
          <w:szCs w:val="32"/>
          <w:highlight w:val="none"/>
          <w:shd w:val="clear" w:color="auto" w:fill="FFFFFF"/>
          <w:lang w:val="en-US" w:eastAsia="zh-CN"/>
        </w:rPr>
        <w:t>顺利</w:t>
      </w:r>
      <w:r>
        <w:rPr>
          <w:rFonts w:hint="default" w:ascii="Times New Roman" w:hAnsi="Times New Roman" w:eastAsia="仿宋_GB2312" w:cs="Times New Roman"/>
          <w:i w:val="0"/>
          <w:caps w:val="0"/>
          <w:color w:val="auto"/>
          <w:spacing w:val="0"/>
          <w:sz w:val="32"/>
          <w:szCs w:val="32"/>
          <w:highlight w:val="none"/>
          <w:shd w:val="clear" w:color="auto" w:fill="FFFFFF"/>
          <w:lang w:eastAsia="zh-CN"/>
        </w:rPr>
        <w:t>推进。</w:t>
      </w:r>
      <w:r>
        <w:rPr>
          <w:rFonts w:hint="eastAsia" w:ascii="仿宋_GB2312" w:hAnsi="仿宋_GB2312" w:eastAsia="仿宋_GB2312" w:cs="仿宋_GB2312"/>
          <w:sz w:val="32"/>
          <w:szCs w:val="32"/>
          <w:lang w:val="en-US" w:eastAsia="zh-CN"/>
        </w:rPr>
        <w:t>财政部门须密切配合，加强对项目全过程及资金使用全流程的监管，确保财政资金安全规范、高效使用。</w:t>
      </w:r>
    </w:p>
    <w:p w14:paraId="17B8EC60">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楷体_GB2312" w:hAnsi="楷体_GB2312" w:eastAsia="楷体_GB2312" w:cs="楷体_GB2312"/>
          <w:sz w:val="32"/>
          <w:szCs w:val="32"/>
          <w:lang w:val="en-US" w:eastAsia="zh-CN"/>
        </w:rPr>
        <w:t>（二）细化过程管理，规范项目实施。</w:t>
      </w:r>
      <w:r>
        <w:rPr>
          <w:rFonts w:hint="eastAsia" w:ascii="仿宋_GB2312" w:hAnsi="仿宋_GB2312" w:eastAsia="仿宋_GB2312" w:cs="仿宋_GB2312"/>
          <w:sz w:val="32"/>
          <w:szCs w:val="32"/>
          <w:u w:val="none"/>
          <w:lang w:val="en-US" w:eastAsia="zh-CN"/>
        </w:rPr>
        <w:t>市民政局会同市财政局实施</w:t>
      </w:r>
      <w:r>
        <w:rPr>
          <w:rFonts w:hint="eastAsia" w:ascii="仿宋_GB2312" w:hAnsi="仿宋_GB2312" w:eastAsia="仿宋_GB2312" w:cs="仿宋_GB2312"/>
          <w:sz w:val="32"/>
          <w:szCs w:val="32"/>
          <w:lang w:val="en-US" w:eastAsia="zh-CN"/>
        </w:rPr>
        <w:t>“月调度、季报告”</w:t>
      </w:r>
      <w:r>
        <w:rPr>
          <w:rFonts w:hint="eastAsia" w:ascii="仿宋_GB2312" w:hAnsi="仿宋_GB2312" w:eastAsia="仿宋_GB2312" w:cs="仿宋_GB2312"/>
          <w:sz w:val="32"/>
          <w:szCs w:val="32"/>
          <w:u w:val="none"/>
          <w:lang w:val="en-US" w:eastAsia="zh-CN"/>
        </w:rPr>
        <w:t>工作机制，</w:t>
      </w:r>
      <w:r>
        <w:rPr>
          <w:rFonts w:hint="eastAsia" w:ascii="仿宋_GB2312" w:hAnsi="仿宋_GB2312" w:eastAsia="仿宋_GB2312" w:cs="仿宋_GB2312"/>
          <w:sz w:val="32"/>
          <w:szCs w:val="32"/>
          <w:lang w:val="en-US" w:eastAsia="zh-CN"/>
        </w:rPr>
        <w:t>动态评估各县（区）</w:t>
      </w:r>
      <w:r>
        <w:rPr>
          <w:rFonts w:hint="eastAsia" w:ascii="仿宋_GB2312" w:hAnsi="仿宋_GB2312" w:eastAsia="仿宋_GB2312" w:cs="仿宋_GB2312"/>
          <w:spacing w:val="1"/>
          <w:sz w:val="32"/>
          <w:szCs w:val="32"/>
        </w:rPr>
        <w:t>项目实施效果、资金使用情况</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u w:val="none"/>
          <w:lang w:val="en-US" w:eastAsia="zh-CN"/>
        </w:rPr>
        <w:t>各</w:t>
      </w:r>
      <w:r>
        <w:rPr>
          <w:rFonts w:hint="eastAsia" w:ascii="仿宋_GB2312" w:hAnsi="仿宋_GB2312" w:eastAsia="仿宋_GB2312" w:cs="仿宋_GB2312"/>
          <w:sz w:val="32"/>
          <w:szCs w:val="32"/>
          <w:lang w:val="en-US" w:eastAsia="zh-CN"/>
        </w:rPr>
        <w:t>县（区）</w:t>
      </w:r>
      <w:r>
        <w:rPr>
          <w:rFonts w:hint="eastAsia" w:ascii="仿宋_GB2312" w:hAnsi="仿宋_GB2312" w:eastAsia="仿宋_GB2312" w:cs="仿宋_GB2312"/>
          <w:sz w:val="32"/>
          <w:szCs w:val="32"/>
          <w:u w:val="none"/>
          <w:lang w:val="en-US" w:eastAsia="zh-CN"/>
        </w:rPr>
        <w:t>民政、财政部门要对项目实施跟踪指导，不得限制老年人消费的付款方式和支付凭证类型，不得以参加项目为由要求参与机构采购新的支付设备。</w:t>
      </w:r>
    </w:p>
    <w:p w14:paraId="2945DA41">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Times New Roman" w:hAnsi="Times New Roman" w:eastAsia="仿宋_GB2312" w:cs="Times New Roman"/>
          <w:i w:val="0"/>
          <w:caps w:val="0"/>
          <w:color w:val="auto"/>
          <w:spacing w:val="0"/>
          <w:sz w:val="32"/>
          <w:szCs w:val="32"/>
          <w:highlight w:val="none"/>
          <w:shd w:val="clear" w:color="auto" w:fill="FFFFFF"/>
        </w:rPr>
      </w:pPr>
      <w:r>
        <w:rPr>
          <w:rFonts w:hint="eastAsia" w:ascii="楷体_GB2312" w:hAnsi="楷体_GB2312" w:eastAsia="楷体_GB2312" w:cs="楷体_GB2312"/>
          <w:sz w:val="32"/>
          <w:szCs w:val="32"/>
          <w:lang w:val="en-US" w:eastAsia="zh-CN"/>
        </w:rPr>
        <w:t>（三）创新宣传引导，营造良好氛围。</w:t>
      </w:r>
      <w:r>
        <w:rPr>
          <w:rFonts w:hint="eastAsia" w:ascii="仿宋_GB2312" w:hAnsi="仿宋_GB2312" w:eastAsia="仿宋_GB2312" w:cs="仿宋_GB2312"/>
          <w:sz w:val="32"/>
          <w:szCs w:val="32"/>
          <w:lang w:val="en-US" w:eastAsia="zh-CN"/>
        </w:rPr>
        <w:t>坚持线上线下结合，</w:t>
      </w:r>
      <w:r>
        <w:rPr>
          <w:rFonts w:hint="default" w:ascii="Times New Roman" w:hAnsi="Times New Roman" w:eastAsia="仿宋_GB2312" w:cs="Times New Roman"/>
          <w:i w:val="0"/>
          <w:caps w:val="0"/>
          <w:color w:val="auto"/>
          <w:spacing w:val="0"/>
          <w:sz w:val="32"/>
          <w:szCs w:val="32"/>
          <w:highlight w:val="none"/>
          <w:shd w:val="clear" w:color="auto" w:fill="FFFFFF"/>
        </w:rPr>
        <w:t>创新宣传方式、拓宽传播渠道</w:t>
      </w:r>
      <w:r>
        <w:rPr>
          <w:rFonts w:hint="eastAsia" w:ascii="Times New Roman" w:hAnsi="Times New Roman" w:eastAsia="仿宋_GB2312" w:cs="Times New Roman"/>
          <w:i w:val="0"/>
          <w:caps w:val="0"/>
          <w:color w:val="auto"/>
          <w:spacing w:val="0"/>
          <w:sz w:val="32"/>
          <w:szCs w:val="32"/>
          <w:highlight w:val="none"/>
          <w:shd w:val="clear" w:color="auto" w:fill="FFFFFF"/>
          <w:lang w:eastAsia="zh-CN"/>
        </w:rPr>
        <w:t>，</w:t>
      </w:r>
      <w:r>
        <w:rPr>
          <w:rFonts w:hint="default" w:ascii="Times New Roman" w:hAnsi="Times New Roman" w:eastAsia="仿宋_GB2312" w:cs="Times New Roman"/>
          <w:i w:val="0"/>
          <w:caps w:val="0"/>
          <w:color w:val="auto"/>
          <w:spacing w:val="0"/>
          <w:sz w:val="32"/>
          <w:szCs w:val="32"/>
          <w:highlight w:val="none"/>
          <w:shd w:val="clear" w:color="auto" w:fill="FFFFFF"/>
        </w:rPr>
        <w:t>充分利用主流媒体报道、政务新媒体、短视频平台等多种形式</w:t>
      </w:r>
      <w:r>
        <w:rPr>
          <w:rFonts w:hint="eastAsia" w:ascii="Times New Roman" w:hAnsi="Times New Roman" w:eastAsia="仿宋_GB2312" w:cs="Times New Roman"/>
          <w:i w:val="0"/>
          <w:caps w:val="0"/>
          <w:color w:val="auto"/>
          <w:spacing w:val="0"/>
          <w:sz w:val="32"/>
          <w:szCs w:val="32"/>
          <w:highlight w:val="none"/>
          <w:shd w:val="clear" w:color="auto" w:fill="FFFFFF"/>
          <w:lang w:eastAsia="zh-CN"/>
        </w:rPr>
        <w:t>，</w:t>
      </w:r>
      <w:r>
        <w:rPr>
          <w:rFonts w:hint="default" w:ascii="Times New Roman" w:hAnsi="Times New Roman" w:eastAsia="仿宋_GB2312" w:cs="Times New Roman"/>
          <w:i w:val="0"/>
          <w:caps w:val="0"/>
          <w:color w:val="auto"/>
          <w:spacing w:val="0"/>
          <w:sz w:val="32"/>
          <w:szCs w:val="32"/>
          <w:highlight w:val="none"/>
          <w:shd w:val="clear" w:color="auto" w:fill="FFFFFF"/>
        </w:rPr>
        <w:t>深入社区、养老服务机构</w:t>
      </w:r>
      <w:r>
        <w:rPr>
          <w:rFonts w:hint="eastAsia" w:ascii="Times New Roman" w:hAnsi="Times New Roman" w:eastAsia="仿宋_GB2312" w:cs="Times New Roman"/>
          <w:i w:val="0"/>
          <w:caps w:val="0"/>
          <w:color w:val="auto"/>
          <w:spacing w:val="0"/>
          <w:sz w:val="32"/>
          <w:szCs w:val="32"/>
          <w:highlight w:val="none"/>
          <w:shd w:val="clear" w:color="auto" w:fill="FFFFFF"/>
          <w:lang w:eastAsia="zh-CN"/>
        </w:rPr>
        <w:t>、广场</w:t>
      </w:r>
      <w:r>
        <w:rPr>
          <w:rFonts w:hint="default" w:ascii="Times New Roman" w:hAnsi="Times New Roman" w:eastAsia="仿宋_GB2312" w:cs="Times New Roman"/>
          <w:i w:val="0"/>
          <w:caps w:val="0"/>
          <w:color w:val="auto"/>
          <w:spacing w:val="0"/>
          <w:sz w:val="32"/>
          <w:szCs w:val="32"/>
          <w:highlight w:val="none"/>
          <w:shd w:val="clear" w:color="auto" w:fill="FFFFFF"/>
        </w:rPr>
        <w:t>等场景，开展政策宣讲、现场咨询等活动</w:t>
      </w:r>
      <w:r>
        <w:rPr>
          <w:rFonts w:hint="eastAsia" w:ascii="仿宋_GB2312" w:hAnsi="仿宋_GB2312" w:eastAsia="仿宋_GB2312" w:cs="仿宋_GB2312"/>
          <w:sz w:val="32"/>
          <w:szCs w:val="32"/>
          <w:lang w:val="en-US" w:eastAsia="zh-CN"/>
        </w:rPr>
        <w:t>，精准解读补贴政策、申请流程与使用范围。指导参与机构积极宣传，切实提升政策知晓度与老年人参与度、满意度，</w:t>
      </w:r>
      <w:r>
        <w:rPr>
          <w:rFonts w:hint="default" w:ascii="Times New Roman" w:hAnsi="Times New Roman" w:eastAsia="仿宋_GB2312" w:cs="Times New Roman"/>
          <w:i w:val="0"/>
          <w:caps w:val="0"/>
          <w:color w:val="auto"/>
          <w:spacing w:val="0"/>
          <w:sz w:val="32"/>
          <w:szCs w:val="32"/>
          <w:highlight w:val="none"/>
          <w:shd w:val="clear" w:color="auto" w:fill="FFFFFF"/>
        </w:rPr>
        <w:t>营造全社会关心、支持、参与养老服务发展的良好氛围。</w:t>
      </w:r>
    </w:p>
    <w:p w14:paraId="45852AD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（四）注重督导评估，推动持续优化。</w:t>
      </w:r>
      <w:r>
        <w:rPr>
          <w:rFonts w:hint="eastAsia" w:ascii="仿宋_GB2312" w:hAnsi="仿宋_GB2312" w:eastAsia="仿宋_GB2312" w:cs="仿宋_GB2312"/>
          <w:sz w:val="32"/>
          <w:szCs w:val="32"/>
          <w:lang w:val="en-US" w:eastAsia="zh-CN"/>
        </w:rPr>
        <w:t>建立健全监督指导与反馈机制，及时发现并解决实施中的问题。各县（区）民政部门要</w:t>
      </w:r>
      <w:r>
        <w:rPr>
          <w:rFonts w:hint="eastAsia" w:ascii="仿宋_GB2312" w:hAnsi="仿宋_GB2312" w:eastAsia="仿宋_GB2312" w:cs="仿宋_GB2312"/>
          <w:sz w:val="32"/>
          <w:szCs w:val="32"/>
          <w:highlight w:val="none"/>
          <w:lang w:val="en-US" w:eastAsia="zh-CN"/>
        </w:rPr>
        <w:t>以实施补贴项目为契机，加强培育发展专业化、连锁化、品牌化养老服务机构，</w:t>
      </w:r>
      <w:r>
        <w:rPr>
          <w:rFonts w:hint="eastAsia" w:ascii="仿宋_GB2312" w:hAnsi="仿宋_GB2312" w:eastAsia="仿宋_GB2312" w:cs="仿宋_GB2312"/>
          <w:sz w:val="32"/>
          <w:szCs w:val="32"/>
          <w:lang w:val="en-US" w:eastAsia="zh-CN"/>
        </w:rPr>
        <w:t>注重经验总结与问题梳理，按时报送阶段性进展与评估报告，为政策完善与全面推广提供实践依据。</w:t>
      </w:r>
    </w:p>
    <w:p w14:paraId="6A68DA6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1.老年人能力评估机构诚信承诺书（参考样式）</w:t>
      </w:r>
    </w:p>
    <w:p w14:paraId="53A3162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2.养老服务机构诚信承诺书（参考样式）</w:t>
      </w:r>
    </w:p>
    <w:p w14:paraId="71B9B1D3">
      <w:pPr>
        <w:keepNext w:val="0"/>
        <w:keepLines w:val="0"/>
        <w:pageBreakBefore w:val="0"/>
        <w:widowControl w:val="0"/>
        <w:kinsoku/>
        <w:wordWrap/>
        <w:overflowPunct/>
        <w:topLinePunct w:val="0"/>
        <w:autoSpaceDE/>
        <w:autoSpaceDN/>
        <w:bidi w:val="0"/>
        <w:adjustRightInd w:val="0"/>
        <w:snapToGrid w:val="0"/>
        <w:spacing w:line="600" w:lineRule="exact"/>
        <w:ind w:firstLine="1600" w:firstLineChars="500"/>
        <w:textAlignment w:val="auto"/>
        <w:rPr>
          <w:rFonts w:hint="default" w:ascii="仿宋_GB2312" w:hAnsi="仿宋_GB2312" w:eastAsia="仿宋_GB2312" w:cs="仿宋_GB2312"/>
          <w:spacing w:val="-11"/>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pacing w:val="-11"/>
          <w:sz w:val="32"/>
          <w:szCs w:val="32"/>
          <w:highlight w:val="none"/>
          <w:lang w:val="en-US" w:eastAsia="zh-CN"/>
        </w:rPr>
        <w:t>参加电子消费券核销的服务项目信息备案表（模板）</w:t>
      </w:r>
    </w:p>
    <w:p w14:paraId="5DD6435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p>
    <w:p w14:paraId="74226E75">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620A3C55">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5F792433">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7277F296">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18EA54FA">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34C627C2">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6D02AE4C">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val="en-US" w:eastAsia="zh-CN"/>
        </w:rPr>
      </w:pPr>
      <w:r>
        <w:rPr>
          <w:rFonts w:hint="eastAsia" w:ascii="黑体" w:hAnsi="黑体" w:eastAsia="黑体" w:cs="黑体"/>
          <w:b w:val="0"/>
          <w:bCs w:val="0"/>
          <w:spacing w:val="-6"/>
          <w:sz w:val="32"/>
          <w:szCs w:val="32"/>
          <w:lang w:eastAsia="zh-CN"/>
        </w:rPr>
        <w:t>附件</w:t>
      </w:r>
      <w:r>
        <w:rPr>
          <w:rFonts w:hint="eastAsia" w:ascii="黑体" w:hAnsi="黑体" w:eastAsia="黑体" w:cs="黑体"/>
          <w:b w:val="0"/>
          <w:bCs w:val="0"/>
          <w:spacing w:val="-6"/>
          <w:sz w:val="32"/>
          <w:szCs w:val="32"/>
          <w:lang w:val="en-US" w:eastAsia="zh-CN"/>
        </w:rPr>
        <w:t>1</w:t>
      </w:r>
    </w:p>
    <w:p w14:paraId="6BA05701">
      <w:pPr>
        <w:keepNext w:val="0"/>
        <w:keepLines w:val="0"/>
        <w:pageBreakBefore w:val="0"/>
        <w:widowControl w:val="0"/>
        <w:kinsoku/>
        <w:wordWrap/>
        <w:overflowPunct/>
        <w:topLinePunct w:val="0"/>
        <w:autoSpaceDE/>
        <w:autoSpaceDN/>
        <w:bidi w:val="0"/>
        <w:adjustRightInd/>
        <w:snapToGrid/>
        <w:spacing w:before="143" w:line="500" w:lineRule="exact"/>
        <w:jc w:val="center"/>
        <w:textAlignment w:val="auto"/>
        <w:rPr>
          <w:rFonts w:hint="eastAsia" w:ascii="方正小标宋简体" w:hAnsi="方正小标宋简体" w:eastAsia="方正小标宋简体" w:cs="方正小标宋简体"/>
          <w:b w:val="0"/>
          <w:bCs w:val="0"/>
          <w:spacing w:val="-6"/>
          <w:sz w:val="44"/>
          <w:szCs w:val="44"/>
        </w:rPr>
      </w:pPr>
      <w:r>
        <w:rPr>
          <w:rFonts w:hint="eastAsia" w:ascii="方正小标宋简体" w:hAnsi="方正小标宋简体" w:eastAsia="方正小标宋简体" w:cs="方正小标宋简体"/>
          <w:b w:val="0"/>
          <w:bCs w:val="0"/>
          <w:spacing w:val="-6"/>
          <w:sz w:val="44"/>
          <w:szCs w:val="44"/>
        </w:rPr>
        <w:t>老年人能力评估机构诚信承诺书</w:t>
      </w:r>
    </w:p>
    <w:p w14:paraId="01D79DD7">
      <w:pPr>
        <w:keepNext w:val="0"/>
        <w:keepLines w:val="0"/>
        <w:pageBreakBefore w:val="0"/>
        <w:widowControl w:val="0"/>
        <w:kinsoku/>
        <w:wordWrap/>
        <w:overflowPunct/>
        <w:topLinePunct w:val="0"/>
        <w:autoSpaceDE/>
        <w:autoSpaceDN/>
        <w:bidi w:val="0"/>
        <w:adjustRightInd/>
        <w:snapToGrid/>
        <w:spacing w:before="143" w:line="500" w:lineRule="exact"/>
        <w:jc w:val="center"/>
        <w:textAlignment w:val="auto"/>
        <w:rPr>
          <w:rFonts w:hint="eastAsia" w:ascii="方正小标宋简体" w:hAnsi="方正小标宋简体" w:eastAsia="方正小标宋简体" w:cs="方正小标宋简体"/>
          <w:b w:val="0"/>
          <w:bCs w:val="0"/>
          <w:spacing w:val="-6"/>
          <w:sz w:val="44"/>
          <w:szCs w:val="44"/>
        </w:rPr>
      </w:pPr>
      <w:r>
        <w:rPr>
          <w:rFonts w:hint="eastAsia" w:ascii="方正小标宋简体" w:hAnsi="方正小标宋简体" w:eastAsia="方正小标宋简体" w:cs="方正小标宋简体"/>
          <w:b w:val="0"/>
          <w:bCs w:val="0"/>
          <w:spacing w:val="-6"/>
          <w:sz w:val="44"/>
          <w:szCs w:val="44"/>
          <w:lang w:eastAsia="zh-CN"/>
        </w:rPr>
        <w:t>（</w:t>
      </w:r>
      <w:r>
        <w:rPr>
          <w:rFonts w:hint="eastAsia" w:ascii="方正小标宋简体" w:hAnsi="方正小标宋简体" w:eastAsia="方正小标宋简体" w:cs="方正小标宋简体"/>
          <w:b w:val="0"/>
          <w:bCs w:val="0"/>
          <w:spacing w:val="-6"/>
          <w:sz w:val="44"/>
          <w:szCs w:val="44"/>
        </w:rPr>
        <w:t>参考样式</w:t>
      </w:r>
      <w:r>
        <w:rPr>
          <w:rFonts w:hint="eastAsia" w:ascii="方正小标宋简体" w:hAnsi="方正小标宋简体" w:eastAsia="方正小标宋简体" w:cs="方正小标宋简体"/>
          <w:b w:val="0"/>
          <w:bCs w:val="0"/>
          <w:spacing w:val="-6"/>
          <w:sz w:val="44"/>
          <w:szCs w:val="44"/>
          <w:lang w:eastAsia="zh-CN"/>
        </w:rPr>
        <w:t>）</w:t>
      </w:r>
    </w:p>
    <w:p w14:paraId="2B53AE2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14:paraId="6119677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我机构自愿参与向中度以上失能老年人发放养老服务 消费补贴项目，为保证老年人能力评估结果的真实性、准确性，作出如下承诺：</w:t>
      </w:r>
    </w:p>
    <w:p w14:paraId="2B20347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1.依法办理企事业单位或社会组织注册登记，符合《老 年人能力评估规范》</w:t>
      </w:r>
      <w:r>
        <w:rPr>
          <w:rFonts w:hint="eastAsia" w:ascii="仿宋_GB2312" w:hAnsi="仿宋_GB2312" w:eastAsia="仿宋_GB2312" w:cs="仿宋_GB2312"/>
          <w:sz w:val="32"/>
          <w:szCs w:val="32"/>
          <w:lang w:eastAsia="zh-CN"/>
        </w:rPr>
        <w:t>（</w:t>
      </w:r>
      <w:r>
        <w:rPr>
          <w:rFonts w:hint="default" w:ascii="Times New Roman" w:hAnsi="Times New Roman" w:eastAsia="仿宋_GB2312" w:cs="Times New Roman"/>
          <w:sz w:val="32"/>
          <w:szCs w:val="32"/>
        </w:rPr>
        <w:t>GB/T</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2195-2022</w:t>
      </w:r>
      <w:r>
        <w:rPr>
          <w:rFonts w:hint="eastAsia" w:ascii="Times New Roman" w:hAnsi="Times New Roman" w:eastAsia="仿宋_GB2312" w:cs="Times New Roman"/>
          <w:sz w:val="32"/>
          <w:szCs w:val="32"/>
          <w:lang w:eastAsia="zh-CN"/>
        </w:rPr>
        <w:t>）</w:t>
      </w:r>
      <w:r>
        <w:rPr>
          <w:rFonts w:hint="eastAsia" w:ascii="仿宋_GB2312" w:hAnsi="仿宋_GB2312" w:eastAsia="仿宋_GB2312" w:cs="仿宋_GB2312"/>
          <w:sz w:val="32"/>
          <w:szCs w:val="32"/>
        </w:rPr>
        <w:t>对老年人能力评估主体规定。本机构或评估人员近一年内未被纳入失信联合惩戒对象名单、人民法院失信被执行人名单</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服务过程中未发生重大安全事故或服务对象群体投诉信访事件。</w:t>
      </w:r>
    </w:p>
    <w:p w14:paraId="1FA2904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2.严格执行法律法规及政策规定，按照《老年人能力评估规范》</w:t>
      </w:r>
      <w:r>
        <w:rPr>
          <w:rFonts w:hint="eastAsia" w:ascii="仿宋_GB2312" w:hAnsi="仿宋_GB2312" w:eastAsia="仿宋_GB2312" w:cs="仿宋_GB2312"/>
          <w:sz w:val="32"/>
          <w:szCs w:val="32"/>
          <w:lang w:eastAsia="zh-CN"/>
        </w:rPr>
        <w:t>（</w:t>
      </w:r>
      <w:r>
        <w:rPr>
          <w:rFonts w:hint="default" w:ascii="Times New Roman" w:hAnsi="Times New Roman" w:eastAsia="仿宋_GB2312" w:cs="Times New Roman"/>
          <w:sz w:val="32"/>
          <w:szCs w:val="32"/>
        </w:rPr>
        <w:t>GB/T 42195-2022</w:t>
      </w:r>
      <w:r>
        <w:rPr>
          <w:rFonts w:hint="eastAsia" w:ascii="Times New Roman" w:hAnsi="Times New Roman" w:eastAsia="仿宋_GB2312" w:cs="Times New Roman"/>
          <w:sz w:val="32"/>
          <w:szCs w:val="32"/>
          <w:lang w:eastAsia="zh-CN"/>
        </w:rPr>
        <w:t>）</w:t>
      </w:r>
      <w:r>
        <w:rPr>
          <w:rFonts w:hint="eastAsia" w:ascii="仿宋_GB2312" w:hAnsi="仿宋_GB2312" w:eastAsia="仿宋_GB2312" w:cs="仿宋_GB2312"/>
          <w:sz w:val="32"/>
          <w:szCs w:val="32"/>
        </w:rPr>
        <w:t>国家标准开展评估工作，确保评估过程和结果真实可信。不与老年人及其家属、养老服务机构串通、伪造评估过程或评估结果。不事先允诺老年人评估结果以鼓动老年人参与评估。杜绝虚假申请、虚假评估评估结果不准确等情况。</w:t>
      </w:r>
    </w:p>
    <w:p w14:paraId="450804C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3.活动开展前组织评估人员进行集中培训，确保能够正确、及时回答老年人有关评估问题的咨询，熟练操作评估人员移动设备及软件，真实客观对老年人能力状况进行评价，按规定出具评估结果。</w:t>
      </w:r>
    </w:p>
    <w:p w14:paraId="530AAEE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4.本机构及机构出资人、法定代表人、主要负责人不参与提供本项目补贴的养老服务。</w:t>
      </w:r>
    </w:p>
    <w:p w14:paraId="7DB7FCE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5.本机构在获得核销补贴资金后，自愿接受、主动配合审计和检查。本机构若出现违反上述承诺的行为，自愿退出此次活动，由此引起的消费纠纷由本机构自行处理，由此产生的财政资金损失由本机构全额承担</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依法承担相应责任。</w:t>
      </w:r>
    </w:p>
    <w:p w14:paraId="7CC8982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特此承诺</w:t>
      </w:r>
      <w:r>
        <w:rPr>
          <w:rFonts w:hint="eastAsia" w:ascii="仿宋_GB2312" w:hAnsi="仿宋_GB2312" w:eastAsia="仿宋_GB2312" w:cs="仿宋_GB2312"/>
          <w:sz w:val="32"/>
          <w:szCs w:val="32"/>
          <w:lang w:eastAsia="zh-CN"/>
        </w:rPr>
        <w:t>。</w:t>
      </w:r>
    </w:p>
    <w:p w14:paraId="2310031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14:paraId="0C16B5B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14:paraId="69587872">
      <w:pPr>
        <w:keepNext w:val="0"/>
        <w:keepLines w:val="0"/>
        <w:pageBreakBefore w:val="0"/>
        <w:widowControl/>
        <w:kinsoku w:val="0"/>
        <w:wordWrap/>
        <w:overflowPunct/>
        <w:topLinePunct w:val="0"/>
        <w:autoSpaceDE w:val="0"/>
        <w:autoSpaceDN w:val="0"/>
        <w:bidi w:val="0"/>
        <w:adjustRightInd w:val="0"/>
        <w:snapToGrid w:val="0"/>
        <w:spacing w:line="600" w:lineRule="exact"/>
        <w:ind w:firstLine="4160" w:firstLineChars="13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机构名称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盖章</w:t>
      </w:r>
      <w:r>
        <w:rPr>
          <w:rFonts w:hint="eastAsia" w:ascii="仿宋_GB2312" w:hAnsi="仿宋_GB2312" w:eastAsia="仿宋_GB2312" w:cs="仿宋_GB2312"/>
          <w:sz w:val="32"/>
          <w:szCs w:val="32"/>
          <w:lang w:eastAsia="zh-CN"/>
        </w:rPr>
        <w:t>）：</w:t>
      </w:r>
    </w:p>
    <w:p w14:paraId="334BCBE3">
      <w:pPr>
        <w:keepNext w:val="0"/>
        <w:keepLines w:val="0"/>
        <w:pageBreakBefore w:val="0"/>
        <w:widowControl/>
        <w:kinsoku w:val="0"/>
        <w:wordWrap/>
        <w:overflowPunct/>
        <w:topLinePunct w:val="0"/>
        <w:autoSpaceDE w:val="0"/>
        <w:autoSpaceDN w:val="0"/>
        <w:bidi w:val="0"/>
        <w:adjustRightInd w:val="0"/>
        <w:snapToGrid w:val="0"/>
        <w:spacing w:line="600" w:lineRule="exact"/>
        <w:ind w:firstLine="4160" w:firstLineChars="1300"/>
        <w:textAlignment w:val="baseline"/>
        <w:rPr>
          <w:rFonts w:hint="eastAsia" w:ascii="仿宋_GB2312" w:hAnsi="仿宋_GB2312" w:eastAsia="仿宋_GB2312" w:cs="仿宋_GB2312"/>
          <w:sz w:val="32"/>
          <w:szCs w:val="32"/>
        </w:rPr>
      </w:pPr>
    </w:p>
    <w:p w14:paraId="261C4546">
      <w:pPr>
        <w:keepNext w:val="0"/>
        <w:keepLines w:val="0"/>
        <w:pageBreakBefore w:val="0"/>
        <w:widowControl/>
        <w:kinsoku w:val="0"/>
        <w:wordWrap/>
        <w:overflowPunct/>
        <w:topLinePunct w:val="0"/>
        <w:autoSpaceDE w:val="0"/>
        <w:autoSpaceDN w:val="0"/>
        <w:bidi w:val="0"/>
        <w:adjustRightInd w:val="0"/>
        <w:snapToGrid w:val="0"/>
        <w:spacing w:line="600" w:lineRule="exact"/>
        <w:ind w:firstLine="4160" w:firstLineChars="13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法定代表人签章：</w:t>
      </w:r>
    </w:p>
    <w:p w14:paraId="67898B4A">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p>
    <w:p w14:paraId="4473C636">
      <w:pPr>
        <w:keepNext w:val="0"/>
        <w:keepLines w:val="0"/>
        <w:pageBreakBefore w:val="0"/>
        <w:widowControl/>
        <w:kinsoku w:val="0"/>
        <w:wordWrap/>
        <w:overflowPunct/>
        <w:topLinePunct w:val="0"/>
        <w:autoSpaceDE w:val="0"/>
        <w:autoSpaceDN w:val="0"/>
        <w:bidi w:val="0"/>
        <w:adjustRightInd w:val="0"/>
        <w:snapToGrid w:val="0"/>
        <w:spacing w:line="600" w:lineRule="exact"/>
        <w:ind w:firstLine="4480" w:firstLineChars="14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   月    日</w:t>
      </w:r>
    </w:p>
    <w:p w14:paraId="72D6C92F">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2A612D8D">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2C59A9B6">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12461AB2">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498CEC16">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17C62851">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7E47AC74">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56D229D8">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5159CC51">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pPr>
    </w:p>
    <w:p w14:paraId="5A99959A">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val="en-US" w:eastAsia="zh-CN"/>
        </w:rPr>
      </w:pPr>
      <w:r>
        <w:rPr>
          <w:rFonts w:hint="eastAsia" w:ascii="黑体" w:hAnsi="黑体" w:eastAsia="黑体" w:cs="黑体"/>
          <w:b w:val="0"/>
          <w:bCs w:val="0"/>
          <w:spacing w:val="-6"/>
          <w:sz w:val="32"/>
          <w:szCs w:val="32"/>
          <w:lang w:eastAsia="zh-CN"/>
        </w:rPr>
        <w:t>附件</w:t>
      </w:r>
      <w:r>
        <w:rPr>
          <w:rFonts w:hint="eastAsia" w:ascii="黑体" w:hAnsi="黑体" w:eastAsia="黑体" w:cs="黑体"/>
          <w:b w:val="0"/>
          <w:bCs w:val="0"/>
          <w:spacing w:val="-6"/>
          <w:sz w:val="32"/>
          <w:szCs w:val="32"/>
          <w:lang w:val="en-US" w:eastAsia="zh-CN"/>
        </w:rPr>
        <w:t>2</w:t>
      </w:r>
    </w:p>
    <w:p w14:paraId="23BA446A">
      <w:pPr>
        <w:keepNext w:val="0"/>
        <w:keepLines w:val="0"/>
        <w:pageBreakBefore w:val="0"/>
        <w:widowControl w:val="0"/>
        <w:kinsoku/>
        <w:wordWrap/>
        <w:overflowPunct/>
        <w:topLinePunct w:val="0"/>
        <w:autoSpaceDE/>
        <w:autoSpaceDN/>
        <w:bidi w:val="0"/>
        <w:adjustRightInd/>
        <w:snapToGrid/>
        <w:spacing w:before="143" w:line="500" w:lineRule="exact"/>
        <w:ind w:left="2039"/>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6"/>
          <w:sz w:val="44"/>
          <w:szCs w:val="44"/>
        </w:rPr>
        <w:t>养老服务机构诚信承诺书</w:t>
      </w:r>
    </w:p>
    <w:p w14:paraId="5502C8EA">
      <w:pPr>
        <w:keepNext w:val="0"/>
        <w:keepLines w:val="0"/>
        <w:pageBreakBefore w:val="0"/>
        <w:widowControl w:val="0"/>
        <w:kinsoku/>
        <w:wordWrap/>
        <w:overflowPunct/>
        <w:topLinePunct w:val="0"/>
        <w:autoSpaceDE/>
        <w:autoSpaceDN/>
        <w:bidi w:val="0"/>
        <w:adjustRightInd/>
        <w:snapToGrid/>
        <w:spacing w:before="51" w:line="500" w:lineRule="exact"/>
        <w:ind w:left="3350"/>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21"/>
          <w:sz w:val="44"/>
          <w:szCs w:val="44"/>
          <w:lang w:eastAsia="zh-CN"/>
        </w:rPr>
        <w:t>（</w:t>
      </w:r>
      <w:r>
        <w:rPr>
          <w:rFonts w:hint="eastAsia" w:ascii="方正小标宋简体" w:hAnsi="方正小标宋简体" w:eastAsia="方正小标宋简体" w:cs="方正小标宋简体"/>
          <w:b w:val="0"/>
          <w:bCs w:val="0"/>
          <w:spacing w:val="21"/>
          <w:sz w:val="44"/>
          <w:szCs w:val="44"/>
        </w:rPr>
        <w:t>参考样式</w:t>
      </w:r>
      <w:r>
        <w:rPr>
          <w:rFonts w:hint="eastAsia" w:ascii="方正小标宋简体" w:hAnsi="方正小标宋简体" w:eastAsia="方正小标宋简体" w:cs="方正小标宋简体"/>
          <w:b w:val="0"/>
          <w:bCs w:val="0"/>
          <w:spacing w:val="21"/>
          <w:sz w:val="44"/>
          <w:szCs w:val="44"/>
          <w:lang w:eastAsia="zh-CN"/>
        </w:rPr>
        <w:t>）</w:t>
      </w:r>
    </w:p>
    <w:p w14:paraId="35EA4133">
      <w:pPr>
        <w:keepNext w:val="0"/>
        <w:keepLines w:val="0"/>
        <w:pageBreakBefore w:val="0"/>
        <w:wordWrap/>
        <w:topLinePunct w:val="0"/>
        <w:bidi w:val="0"/>
        <w:spacing w:line="600" w:lineRule="exact"/>
      </w:pPr>
    </w:p>
    <w:p w14:paraId="22292231">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p>
    <w:p w14:paraId="01D46D8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我机构自愿参与向中度以上失能老年人发放养老服务消费补贴项目，作出如下承诺：</w:t>
      </w:r>
    </w:p>
    <w:p w14:paraId="399E98A5">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1.依法办理登记，经营范围或业务范围包括养老服务，且在民政部门备案，具有收住或服务中度及以上失能老年人的服务资质和能力。</w:t>
      </w:r>
    </w:p>
    <w:p w14:paraId="7DA9A736">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2.严格执行法律法规及《养老机构服务安全基本规范》 </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GB38600—2019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等强制性标准要求开展服务。近一年内未被纳入失信联合惩戒对象名单、人民法院失信被执行人名单，服务过程中未发生重大安全事故或服务对象群体投诉信访事件。</w:t>
      </w:r>
    </w:p>
    <w:p w14:paraId="78A631BF">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3.服务前与服务对象签订服务协议，明确服务标准、流程、价格、权利及义务、风险处置、责任划分等内容。</w:t>
      </w:r>
    </w:p>
    <w:p w14:paraId="06D369C6">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4.项目实施期间所提供服务的价格不高于参与项目前</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个月实际价格，老年人能够同时享受本机构优惠活动和消费补贴。</w:t>
      </w:r>
    </w:p>
    <w:p w14:paraId="60937255">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5.本机构不与评估机构串通，伪造评估过程、评估结果， 不与老年人及其家属串通、伪造服务过程。杜绝虚假服务、虚假评估、套取骗取补贴资金等情况。</w:t>
      </w:r>
    </w:p>
    <w:p w14:paraId="509B9CAF">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6.发现所服务老年人因身体状况变化等因素不再符合补贴条件的，及时告知所在地区县民政部门停发消费券。</w:t>
      </w:r>
    </w:p>
    <w:p w14:paraId="7EAC7946">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7.严格遵守电子消费券发放规则，合法合规核销电子消费券</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核销过程中保证所提供的全部信息、资料、票据的有效性、真实性、准确性和完整性，保证每笔服务交易真实，合法、有效。</w:t>
      </w:r>
    </w:p>
    <w:p w14:paraId="69F6FF5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8.本机构及机构出资人、法定代表人、主要负责人不承接与本机构有利害关系、可能影响公正评估的相关工作。本机构内部自行开展的老年人能力评估结果不作为领取消费补贴的依据。</w:t>
      </w:r>
    </w:p>
    <w:p w14:paraId="7BD68B0D">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9.本机构在获得核销补贴资金后，自愿接受、主动配合审计和检查。</w:t>
      </w:r>
    </w:p>
    <w:p w14:paraId="3EF4C51B">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本机构若出现违反上述承诺的行为，自愿退出此次活动，由此引起的纠纷由本机构自行处理，由此产生的财政资 金损失由本机构及本人全额承担</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依法承担相应责任。</w:t>
      </w:r>
    </w:p>
    <w:p w14:paraId="06A53CA6">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特此承诺。</w:t>
      </w:r>
    </w:p>
    <w:p w14:paraId="4D8BFA9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p>
    <w:p w14:paraId="32F1903E">
      <w:pPr>
        <w:keepNext w:val="0"/>
        <w:keepLines w:val="0"/>
        <w:pageBreakBefore w:val="0"/>
        <w:widowControl/>
        <w:kinsoku w:val="0"/>
        <w:wordWrap/>
        <w:overflowPunct/>
        <w:topLinePunct w:val="0"/>
        <w:autoSpaceDE w:val="0"/>
        <w:autoSpaceDN w:val="0"/>
        <w:bidi w:val="0"/>
        <w:adjustRightInd w:val="0"/>
        <w:snapToGrid w:val="0"/>
        <w:spacing w:line="600" w:lineRule="exact"/>
        <w:ind w:firstLine="4160" w:firstLineChars="13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机构名称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盖章</w:t>
      </w:r>
      <w:r>
        <w:rPr>
          <w:rFonts w:hint="eastAsia" w:ascii="仿宋_GB2312" w:hAnsi="仿宋_GB2312" w:eastAsia="仿宋_GB2312" w:cs="仿宋_GB2312"/>
          <w:sz w:val="32"/>
          <w:szCs w:val="32"/>
          <w:lang w:eastAsia="zh-CN"/>
        </w:rPr>
        <w:t>）：</w:t>
      </w:r>
    </w:p>
    <w:p w14:paraId="50390C50">
      <w:pPr>
        <w:keepNext w:val="0"/>
        <w:keepLines w:val="0"/>
        <w:pageBreakBefore w:val="0"/>
        <w:widowControl/>
        <w:kinsoku w:val="0"/>
        <w:wordWrap/>
        <w:overflowPunct/>
        <w:topLinePunct w:val="0"/>
        <w:autoSpaceDE w:val="0"/>
        <w:autoSpaceDN w:val="0"/>
        <w:bidi w:val="0"/>
        <w:adjustRightInd w:val="0"/>
        <w:snapToGrid w:val="0"/>
        <w:spacing w:line="600" w:lineRule="exact"/>
        <w:ind w:firstLine="4160" w:firstLineChars="1300"/>
        <w:textAlignment w:val="baseline"/>
        <w:rPr>
          <w:rFonts w:hint="eastAsia" w:ascii="仿宋_GB2312" w:hAnsi="仿宋_GB2312" w:eastAsia="仿宋_GB2312" w:cs="仿宋_GB2312"/>
          <w:sz w:val="32"/>
          <w:szCs w:val="32"/>
        </w:rPr>
      </w:pPr>
    </w:p>
    <w:p w14:paraId="4F11083C">
      <w:pPr>
        <w:keepNext w:val="0"/>
        <w:keepLines w:val="0"/>
        <w:pageBreakBefore w:val="0"/>
        <w:widowControl/>
        <w:kinsoku w:val="0"/>
        <w:wordWrap/>
        <w:overflowPunct/>
        <w:topLinePunct w:val="0"/>
        <w:autoSpaceDE w:val="0"/>
        <w:autoSpaceDN w:val="0"/>
        <w:bidi w:val="0"/>
        <w:adjustRightInd w:val="0"/>
        <w:snapToGrid w:val="0"/>
        <w:spacing w:line="600" w:lineRule="exact"/>
        <w:ind w:firstLine="4160" w:firstLineChars="13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法定代表人签章：</w:t>
      </w:r>
    </w:p>
    <w:p w14:paraId="39C13ECA">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p>
    <w:p w14:paraId="699653F7">
      <w:pPr>
        <w:keepNext w:val="0"/>
        <w:keepLines w:val="0"/>
        <w:pageBreakBefore w:val="0"/>
        <w:widowControl/>
        <w:kinsoku w:val="0"/>
        <w:wordWrap/>
        <w:overflowPunct/>
        <w:topLinePunct w:val="0"/>
        <w:autoSpaceDE w:val="0"/>
        <w:autoSpaceDN w:val="0"/>
        <w:bidi w:val="0"/>
        <w:adjustRightInd w:val="0"/>
        <w:snapToGrid w:val="0"/>
        <w:spacing w:line="600" w:lineRule="exact"/>
        <w:ind w:firstLine="4480" w:firstLineChars="14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   月    日</w:t>
      </w:r>
    </w:p>
    <w:p w14:paraId="3B6220A2">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eastAsia="zh-CN"/>
        </w:rPr>
        <w:sectPr>
          <w:footerReference r:id="rId3" w:type="default"/>
          <w:pgSz w:w="11906" w:h="16838"/>
          <w:pgMar w:top="1440" w:right="1474" w:bottom="1440" w:left="1587" w:header="851" w:footer="992" w:gutter="0"/>
          <w:pgNumType w:fmt="numberInDash"/>
          <w:cols w:space="425" w:num="1"/>
          <w:docGrid w:type="lines" w:linePitch="312" w:charSpace="0"/>
        </w:sectPr>
      </w:pPr>
    </w:p>
    <w:p w14:paraId="1DDF828C">
      <w:pPr>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附件3</w:t>
      </w:r>
    </w:p>
    <w:p w14:paraId="4601945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0"/>
          <w:szCs w:val="40"/>
          <w:lang w:val="en-US" w:eastAsia="zh-CN"/>
        </w:rPr>
      </w:pPr>
    </w:p>
    <w:p w14:paraId="76A2CC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b w:val="0"/>
          <w:bCs w:val="0"/>
          <w:sz w:val="40"/>
          <w:szCs w:val="40"/>
          <w:lang w:val="en-US" w:eastAsia="zh-CN"/>
        </w:rPr>
        <w:t>XX县（区）XX机构参加电子消费券核销的服务项目信息备案表</w:t>
      </w:r>
      <w:r>
        <w:rPr>
          <w:rFonts w:hint="eastAsia" w:ascii="方正小标宋简体" w:hAnsi="方正小标宋简体" w:eastAsia="方正小标宋简体" w:cs="方正小标宋简体"/>
          <w:sz w:val="40"/>
          <w:szCs w:val="40"/>
          <w:lang w:val="en-US" w:eastAsia="zh-CN"/>
        </w:rPr>
        <w:t>（模板）</w:t>
      </w:r>
    </w:p>
    <w:p w14:paraId="10E352E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填报单位（公章）：                                              填报日期：</w:t>
      </w:r>
    </w:p>
    <w:tbl>
      <w:tblPr>
        <w:tblStyle w:val="4"/>
        <w:tblW w:w="14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2662"/>
        <w:gridCol w:w="7762"/>
        <w:gridCol w:w="1770"/>
        <w:gridCol w:w="1650"/>
      </w:tblGrid>
      <w:tr w14:paraId="2444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 w:type="dxa"/>
            <w:noWrap w:val="0"/>
            <w:vAlign w:val="center"/>
          </w:tcPr>
          <w:p w14:paraId="059E8D32">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序号</w:t>
            </w:r>
          </w:p>
        </w:tc>
        <w:tc>
          <w:tcPr>
            <w:tcW w:w="2662" w:type="dxa"/>
            <w:noWrap w:val="0"/>
            <w:vAlign w:val="center"/>
          </w:tcPr>
          <w:p w14:paraId="7E59D28E">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项目名称</w:t>
            </w:r>
          </w:p>
        </w:tc>
        <w:tc>
          <w:tcPr>
            <w:tcW w:w="7762" w:type="dxa"/>
            <w:noWrap w:val="0"/>
            <w:vAlign w:val="center"/>
          </w:tcPr>
          <w:p w14:paraId="3C2C5377">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left"/>
              <w:textAlignment w:val="auto"/>
              <w:outlineLvl w:val="9"/>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服务内容</w:t>
            </w:r>
          </w:p>
        </w:tc>
        <w:tc>
          <w:tcPr>
            <w:tcW w:w="1770" w:type="dxa"/>
            <w:noWrap w:val="0"/>
            <w:vAlign w:val="center"/>
          </w:tcPr>
          <w:p w14:paraId="2B61969F">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服务时长</w:t>
            </w:r>
          </w:p>
        </w:tc>
        <w:tc>
          <w:tcPr>
            <w:tcW w:w="1650" w:type="dxa"/>
            <w:noWrap w:val="0"/>
            <w:vAlign w:val="center"/>
          </w:tcPr>
          <w:p w14:paraId="5EF1536F">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bCs/>
                <w:kern w:val="2"/>
                <w:sz w:val="28"/>
                <w:szCs w:val="28"/>
                <w:vertAlign w:val="baseline"/>
                <w:lang w:val="en-US" w:eastAsia="zh-CN" w:bidi="ar-SA"/>
              </w:rPr>
            </w:pPr>
            <w:r>
              <w:rPr>
                <w:rFonts w:hint="eastAsia" w:ascii="宋体" w:hAnsi="宋体" w:eastAsia="宋体" w:cs="宋体"/>
                <w:b/>
                <w:bCs/>
                <w:sz w:val="28"/>
                <w:szCs w:val="28"/>
                <w:vertAlign w:val="baseline"/>
                <w:lang w:val="en-US" w:eastAsia="zh-CN"/>
              </w:rPr>
              <w:t>收费标准</w:t>
            </w:r>
          </w:p>
        </w:tc>
      </w:tr>
      <w:tr w14:paraId="78A7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1040" w:type="dxa"/>
            <w:noWrap w:val="0"/>
            <w:vAlign w:val="center"/>
          </w:tcPr>
          <w:p w14:paraId="428FD454">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w:t>
            </w:r>
          </w:p>
        </w:tc>
        <w:tc>
          <w:tcPr>
            <w:tcW w:w="2662" w:type="dxa"/>
            <w:noWrap w:val="0"/>
            <w:vAlign w:val="center"/>
          </w:tcPr>
          <w:p w14:paraId="0CB7136A">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sz w:val="22"/>
                <w:szCs w:val="22"/>
                <w:vertAlign w:val="baseline"/>
                <w:lang w:val="en-US" w:eastAsia="zh-CN"/>
              </w:rPr>
            </w:pPr>
            <w:r>
              <w:rPr>
                <w:rFonts w:hint="eastAsia" w:ascii="宋体" w:hAnsi="宋体" w:cs="宋体"/>
                <w:b w:val="0"/>
                <w:bCs w:val="0"/>
                <w:color w:val="auto"/>
                <w:sz w:val="22"/>
                <w:szCs w:val="22"/>
                <w:highlight w:val="none"/>
                <w:lang w:val="en-US" w:eastAsia="zh-CN"/>
              </w:rPr>
              <w:t>评估服务</w:t>
            </w:r>
          </w:p>
        </w:tc>
        <w:tc>
          <w:tcPr>
            <w:tcW w:w="7762" w:type="dxa"/>
            <w:noWrap w:val="0"/>
            <w:vAlign w:val="top"/>
          </w:tcPr>
          <w:p w14:paraId="6B48BBB5">
            <w:pPr>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eastAsia" w:ascii="宋体" w:hAnsi="宋体" w:eastAsia="宋体" w:cs="宋体"/>
                <w:sz w:val="22"/>
                <w:szCs w:val="22"/>
                <w:vertAlign w:val="baseline"/>
                <w:lang w:val="en-US" w:eastAsia="zh-CN"/>
              </w:rPr>
            </w:pPr>
            <w:r>
              <w:rPr>
                <w:rFonts w:hint="eastAsia" w:ascii="宋体" w:hAnsi="宋体" w:eastAsia="宋体" w:cs="宋体"/>
                <w:b w:val="0"/>
                <w:bCs w:val="0"/>
                <w:color w:val="auto"/>
                <w:sz w:val="22"/>
                <w:szCs w:val="22"/>
                <w:highlight w:val="none"/>
                <w:lang w:val="en-US" w:eastAsia="zh-CN"/>
              </w:rPr>
              <w:t>按照《老年人能力评估规范》（GB/T42195-2022）标准为护理对象开展能力评估服务</w:t>
            </w:r>
          </w:p>
        </w:tc>
        <w:tc>
          <w:tcPr>
            <w:tcW w:w="1770" w:type="dxa"/>
            <w:noWrap w:val="0"/>
            <w:vAlign w:val="center"/>
          </w:tcPr>
          <w:p w14:paraId="7F1EB613">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   小时/次</w:t>
            </w:r>
          </w:p>
        </w:tc>
        <w:tc>
          <w:tcPr>
            <w:tcW w:w="1650" w:type="dxa"/>
            <w:noWrap w:val="0"/>
            <w:vAlign w:val="center"/>
          </w:tcPr>
          <w:p w14:paraId="615F9598">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cs="宋体"/>
                <w:b w:val="0"/>
                <w:bCs w:val="0"/>
                <w:color w:val="auto"/>
                <w:sz w:val="22"/>
                <w:szCs w:val="22"/>
                <w:highlight w:val="none"/>
                <w:lang w:val="en-US" w:eastAsia="zh-CN"/>
              </w:rPr>
              <w:t>XX元/次</w:t>
            </w:r>
          </w:p>
        </w:tc>
      </w:tr>
      <w:tr w14:paraId="18D0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1040" w:type="dxa"/>
            <w:noWrap w:val="0"/>
            <w:vAlign w:val="center"/>
          </w:tcPr>
          <w:p w14:paraId="315EA195">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2</w:t>
            </w:r>
          </w:p>
        </w:tc>
        <w:tc>
          <w:tcPr>
            <w:tcW w:w="2662" w:type="dxa"/>
            <w:noWrap w:val="0"/>
            <w:vAlign w:val="center"/>
          </w:tcPr>
          <w:p w14:paraId="7F0B3EBD">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sz w:val="22"/>
                <w:szCs w:val="22"/>
                <w:vertAlign w:val="baseline"/>
                <w:lang w:val="en-US" w:eastAsia="zh-CN"/>
              </w:rPr>
            </w:pPr>
            <w:r>
              <w:rPr>
                <w:rFonts w:hint="eastAsia" w:ascii="宋体" w:hAnsi="宋体" w:cs="宋体"/>
                <w:b w:val="0"/>
                <w:bCs w:val="0"/>
                <w:color w:val="auto"/>
                <w:sz w:val="22"/>
                <w:szCs w:val="22"/>
                <w:highlight w:val="none"/>
                <w:lang w:val="en-US" w:eastAsia="zh-CN"/>
              </w:rPr>
              <w:t>居家</w:t>
            </w:r>
            <w:r>
              <w:rPr>
                <w:rFonts w:hint="eastAsia" w:ascii="宋体" w:hAnsi="宋体" w:eastAsia="宋体" w:cs="宋体"/>
                <w:b w:val="0"/>
                <w:bCs w:val="0"/>
                <w:color w:val="auto"/>
                <w:sz w:val="22"/>
                <w:szCs w:val="22"/>
                <w:highlight w:val="none"/>
                <w:lang w:val="en-US" w:eastAsia="zh-CN"/>
              </w:rPr>
              <w:t>聘用养老护理员</w:t>
            </w:r>
          </w:p>
        </w:tc>
        <w:tc>
          <w:tcPr>
            <w:tcW w:w="7762" w:type="dxa"/>
            <w:noWrap w:val="0"/>
            <w:vAlign w:val="top"/>
          </w:tcPr>
          <w:p w14:paraId="502BA898">
            <w:pPr>
              <w:keepNext w:val="0"/>
              <w:keepLines w:val="0"/>
              <w:pageBreakBefore w:val="0"/>
              <w:widowControl w:val="0"/>
              <w:kinsoku/>
              <w:wordWrap/>
              <w:overflowPunct/>
              <w:topLinePunct w:val="0"/>
              <w:autoSpaceDE/>
              <w:autoSpaceDN/>
              <w:bidi w:val="0"/>
              <w:adjustRightInd/>
              <w:snapToGrid/>
              <w:spacing w:line="360" w:lineRule="exact"/>
              <w:ind w:firstLine="0" w:firstLineChars="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全职或兼职为居家老年人提供专业养老服务</w:t>
            </w:r>
          </w:p>
        </w:tc>
        <w:tc>
          <w:tcPr>
            <w:tcW w:w="1770" w:type="dxa"/>
            <w:noWrap w:val="0"/>
            <w:vAlign w:val="center"/>
          </w:tcPr>
          <w:p w14:paraId="0D0423E0">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 ……</w:t>
            </w:r>
          </w:p>
        </w:tc>
        <w:tc>
          <w:tcPr>
            <w:tcW w:w="1650" w:type="dxa"/>
            <w:noWrap w:val="0"/>
            <w:vAlign w:val="center"/>
          </w:tcPr>
          <w:p w14:paraId="6FAF7526">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cs="宋体"/>
                <w:b w:val="0"/>
                <w:bCs w:val="0"/>
                <w:color w:val="auto"/>
                <w:sz w:val="22"/>
                <w:szCs w:val="22"/>
                <w:highlight w:val="none"/>
                <w:lang w:val="en-US" w:eastAsia="zh-CN"/>
              </w:rPr>
              <w:t>XX元/天或月</w:t>
            </w:r>
          </w:p>
        </w:tc>
      </w:tr>
      <w:tr w14:paraId="0365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1040" w:type="dxa"/>
            <w:noWrap w:val="0"/>
            <w:vAlign w:val="center"/>
          </w:tcPr>
          <w:p w14:paraId="0B3BDCE7">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3</w:t>
            </w:r>
          </w:p>
        </w:tc>
        <w:tc>
          <w:tcPr>
            <w:tcW w:w="2662" w:type="dxa"/>
            <w:noWrap w:val="0"/>
            <w:vAlign w:val="center"/>
          </w:tcPr>
          <w:p w14:paraId="34E1C835">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sz w:val="22"/>
                <w:szCs w:val="22"/>
                <w:vertAlign w:val="baseline"/>
                <w:lang w:val="en-US" w:eastAsia="zh-CN"/>
              </w:rPr>
            </w:pPr>
            <w:r>
              <w:rPr>
                <w:rFonts w:hint="eastAsia" w:ascii="宋体" w:hAnsi="宋体" w:cs="宋体"/>
                <w:b w:val="0"/>
                <w:bCs w:val="0"/>
                <w:color w:val="auto"/>
                <w:sz w:val="22"/>
                <w:szCs w:val="22"/>
                <w:highlight w:val="none"/>
                <w:lang w:val="en-US" w:eastAsia="zh-CN"/>
              </w:rPr>
              <w:t>个性化服务</w:t>
            </w:r>
            <w:r>
              <w:rPr>
                <w:rFonts w:hint="eastAsia" w:ascii="宋体" w:hAnsi="宋体" w:eastAsia="宋体" w:cs="宋体"/>
                <w:b w:val="0"/>
                <w:bCs w:val="0"/>
                <w:color w:val="auto"/>
                <w:sz w:val="22"/>
                <w:szCs w:val="22"/>
                <w:highlight w:val="none"/>
                <w:lang w:val="en-US" w:eastAsia="zh-CN"/>
              </w:rPr>
              <w:t>包</w:t>
            </w:r>
          </w:p>
        </w:tc>
        <w:tc>
          <w:tcPr>
            <w:tcW w:w="7762" w:type="dxa"/>
            <w:noWrap w:val="0"/>
            <w:vAlign w:val="center"/>
          </w:tcPr>
          <w:p w14:paraId="6C20C6BB">
            <w:pPr>
              <w:keepNext w:val="0"/>
              <w:keepLines w:val="0"/>
              <w:pageBreakBefore w:val="0"/>
              <w:widowControl w:val="0"/>
              <w:kinsoku/>
              <w:wordWrap/>
              <w:overflowPunct/>
              <w:topLinePunct w:val="0"/>
              <w:autoSpaceDE/>
              <w:autoSpaceDN/>
              <w:bidi w:val="0"/>
              <w:adjustRightInd/>
              <w:snapToGrid/>
              <w:spacing w:line="360" w:lineRule="exact"/>
              <w:ind w:firstLine="0" w:firstLineChars="0"/>
              <w:jc w:val="left"/>
              <w:textAlignment w:val="auto"/>
              <w:rPr>
                <w:rFonts w:hint="default" w:ascii="宋体" w:hAnsi="宋体" w:eastAsia="宋体" w:cs="宋体"/>
                <w:sz w:val="22"/>
                <w:szCs w:val="22"/>
                <w:vertAlign w:val="baseline"/>
                <w:lang w:val="en-US" w:eastAsia="zh-CN"/>
              </w:rPr>
            </w:pPr>
            <w:r>
              <w:rPr>
                <w:rFonts w:hint="eastAsia" w:ascii="宋体" w:hAnsi="宋体" w:cs="宋体"/>
                <w:b w:val="0"/>
                <w:bCs w:val="0"/>
                <w:color w:val="auto"/>
                <w:sz w:val="22"/>
                <w:szCs w:val="22"/>
                <w:highlight w:val="none"/>
                <w:lang w:val="en-US" w:eastAsia="zh-CN"/>
              </w:rPr>
              <w:t>根据老年人需求情况提供包括“六助”、基础照护服务等在内的打包式服务，具体描述包含的服务项目、服务频次、服务时长等</w:t>
            </w:r>
          </w:p>
        </w:tc>
        <w:tc>
          <w:tcPr>
            <w:tcW w:w="1770" w:type="dxa"/>
            <w:noWrap w:val="0"/>
            <w:vAlign w:val="center"/>
          </w:tcPr>
          <w:p w14:paraId="3F4F9D36">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sz w:val="22"/>
                <w:szCs w:val="22"/>
                <w:vertAlign w:val="baseline"/>
                <w:lang w:val="en-US" w:eastAsia="zh-CN"/>
              </w:rPr>
            </w:pPr>
            <w:r>
              <w:rPr>
                <w:rFonts w:hint="eastAsia" w:ascii="宋体" w:hAnsi="宋体" w:cs="宋体"/>
                <w:b w:val="0"/>
                <w:bCs w:val="0"/>
                <w:color w:val="auto"/>
                <w:sz w:val="22"/>
                <w:szCs w:val="22"/>
                <w:highlight w:val="none"/>
                <w:lang w:val="en-US" w:eastAsia="zh-CN"/>
              </w:rPr>
              <w:t>……</w:t>
            </w:r>
          </w:p>
        </w:tc>
        <w:tc>
          <w:tcPr>
            <w:tcW w:w="1650" w:type="dxa"/>
            <w:noWrap w:val="0"/>
            <w:vAlign w:val="center"/>
          </w:tcPr>
          <w:p w14:paraId="00BBE9E4">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kern w:val="2"/>
                <w:sz w:val="22"/>
                <w:szCs w:val="22"/>
                <w:vertAlign w:val="baseline"/>
                <w:lang w:val="en-US" w:eastAsia="zh-CN" w:bidi="ar-SA"/>
              </w:rPr>
            </w:pPr>
            <w:r>
              <w:rPr>
                <w:rFonts w:hint="eastAsia" w:ascii="宋体" w:hAnsi="宋体" w:cs="宋体"/>
                <w:b w:val="0"/>
                <w:bCs w:val="0"/>
                <w:color w:val="auto"/>
                <w:sz w:val="22"/>
                <w:szCs w:val="22"/>
                <w:highlight w:val="none"/>
                <w:lang w:val="en-US" w:eastAsia="zh-CN"/>
              </w:rPr>
              <w:t>……</w:t>
            </w:r>
          </w:p>
        </w:tc>
      </w:tr>
      <w:tr w14:paraId="1319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1040" w:type="dxa"/>
            <w:noWrap w:val="0"/>
            <w:vAlign w:val="center"/>
          </w:tcPr>
          <w:p w14:paraId="7EA1C3EA">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4</w:t>
            </w:r>
          </w:p>
        </w:tc>
        <w:tc>
          <w:tcPr>
            <w:tcW w:w="2662" w:type="dxa"/>
            <w:noWrap w:val="0"/>
            <w:vAlign w:val="center"/>
          </w:tcPr>
          <w:p w14:paraId="12F7AB70">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长期托养服务</w:t>
            </w:r>
          </w:p>
        </w:tc>
        <w:tc>
          <w:tcPr>
            <w:tcW w:w="7762" w:type="dxa"/>
            <w:noWrap w:val="0"/>
            <w:vAlign w:val="center"/>
          </w:tcPr>
          <w:p w14:paraId="4099424A">
            <w:pPr>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入住机构时间在30天以上，包含床位费、护理费、餐费等，具体描述房间标准、服务标准等</w:t>
            </w:r>
          </w:p>
        </w:tc>
        <w:tc>
          <w:tcPr>
            <w:tcW w:w="1770" w:type="dxa"/>
            <w:noWrap w:val="0"/>
            <w:vAlign w:val="center"/>
          </w:tcPr>
          <w:p w14:paraId="7D4DF08B">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kern w:val="2"/>
                <w:sz w:val="22"/>
                <w:szCs w:val="22"/>
                <w:vertAlign w:val="baseline"/>
                <w:lang w:val="en-US" w:eastAsia="zh-CN" w:bidi="ar-SA"/>
              </w:rPr>
            </w:pPr>
            <w:r>
              <w:rPr>
                <w:rFonts w:hint="eastAsia" w:ascii="宋体" w:hAnsi="宋体" w:cs="宋体"/>
                <w:b w:val="0"/>
                <w:bCs w:val="0"/>
                <w:color w:val="auto"/>
                <w:sz w:val="22"/>
                <w:szCs w:val="22"/>
                <w:highlight w:val="none"/>
                <w:lang w:val="en-US" w:eastAsia="zh-CN"/>
              </w:rPr>
              <w:t>……</w:t>
            </w:r>
          </w:p>
        </w:tc>
        <w:tc>
          <w:tcPr>
            <w:tcW w:w="1650" w:type="dxa"/>
            <w:noWrap w:val="0"/>
            <w:vAlign w:val="center"/>
          </w:tcPr>
          <w:p w14:paraId="0E31EDCA">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kern w:val="2"/>
                <w:sz w:val="22"/>
                <w:szCs w:val="22"/>
                <w:vertAlign w:val="baseline"/>
                <w:lang w:val="en-US" w:eastAsia="zh-CN" w:bidi="ar-SA"/>
              </w:rPr>
            </w:pPr>
            <w:r>
              <w:rPr>
                <w:rFonts w:hint="eastAsia" w:ascii="宋体" w:hAnsi="宋体" w:cs="宋体"/>
                <w:b w:val="0"/>
                <w:bCs w:val="0"/>
                <w:color w:val="auto"/>
                <w:sz w:val="22"/>
                <w:szCs w:val="22"/>
                <w:highlight w:val="none"/>
                <w:lang w:val="en-US" w:eastAsia="zh-CN"/>
              </w:rPr>
              <w:t>……</w:t>
            </w:r>
          </w:p>
        </w:tc>
      </w:tr>
      <w:tr w14:paraId="36596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040" w:type="dxa"/>
            <w:noWrap w:val="0"/>
            <w:vAlign w:val="center"/>
          </w:tcPr>
          <w:p w14:paraId="28F6F81D">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5</w:t>
            </w:r>
          </w:p>
        </w:tc>
        <w:tc>
          <w:tcPr>
            <w:tcW w:w="2662" w:type="dxa"/>
            <w:noWrap w:val="0"/>
            <w:vAlign w:val="center"/>
          </w:tcPr>
          <w:p w14:paraId="4F7588A7">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短期托养服务</w:t>
            </w:r>
          </w:p>
          <w:p w14:paraId="50B1C467">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（喘息服务）</w:t>
            </w:r>
          </w:p>
        </w:tc>
        <w:tc>
          <w:tcPr>
            <w:tcW w:w="7762" w:type="dxa"/>
            <w:noWrap w:val="0"/>
            <w:vAlign w:val="center"/>
          </w:tcPr>
          <w:p w14:paraId="26B0DD9C">
            <w:pPr>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入住机构时间在30天以内，包含床位费、护理费、餐费等，具体描述房间标准、服务标准等</w:t>
            </w:r>
          </w:p>
        </w:tc>
        <w:tc>
          <w:tcPr>
            <w:tcW w:w="1770" w:type="dxa"/>
            <w:noWrap w:val="0"/>
            <w:vAlign w:val="center"/>
          </w:tcPr>
          <w:p w14:paraId="6694013A">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c>
          <w:tcPr>
            <w:tcW w:w="1650" w:type="dxa"/>
            <w:noWrap w:val="0"/>
            <w:vAlign w:val="center"/>
          </w:tcPr>
          <w:p w14:paraId="2A9A6EB4">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val="0"/>
                <w:bCs w:val="0"/>
                <w:color w:val="auto"/>
                <w:kern w:val="2"/>
                <w:sz w:val="22"/>
                <w:szCs w:val="22"/>
                <w:highlight w:val="none"/>
                <w:lang w:val="en-US" w:eastAsia="zh-CN" w:bidi="ar-SA"/>
              </w:rPr>
            </w:pPr>
            <w:r>
              <w:rPr>
                <w:rFonts w:hint="eastAsia" w:ascii="宋体" w:hAnsi="宋体" w:cs="宋体"/>
                <w:b w:val="0"/>
                <w:bCs w:val="0"/>
                <w:color w:val="auto"/>
                <w:sz w:val="22"/>
                <w:szCs w:val="22"/>
                <w:highlight w:val="none"/>
                <w:lang w:val="en-US" w:eastAsia="zh-CN"/>
              </w:rPr>
              <w:t>……</w:t>
            </w:r>
          </w:p>
        </w:tc>
      </w:tr>
      <w:tr w14:paraId="1189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1040" w:type="dxa"/>
            <w:noWrap w:val="0"/>
            <w:vAlign w:val="center"/>
          </w:tcPr>
          <w:p w14:paraId="7E738ADB">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6</w:t>
            </w:r>
          </w:p>
        </w:tc>
        <w:tc>
          <w:tcPr>
            <w:tcW w:w="2662" w:type="dxa"/>
            <w:noWrap w:val="0"/>
            <w:vAlign w:val="center"/>
          </w:tcPr>
          <w:p w14:paraId="23C90229">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日间托养服务</w:t>
            </w:r>
          </w:p>
        </w:tc>
        <w:tc>
          <w:tcPr>
            <w:tcW w:w="7762" w:type="dxa"/>
            <w:noWrap w:val="0"/>
            <w:vAlign w:val="center"/>
          </w:tcPr>
          <w:p w14:paraId="2510498C">
            <w:pPr>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为老年人提供早X时至晚X时的托养服务，包含床位费、护理费、餐费等，具体描述房间标准、服务标准等</w:t>
            </w:r>
          </w:p>
        </w:tc>
        <w:tc>
          <w:tcPr>
            <w:tcW w:w="1770" w:type="dxa"/>
            <w:noWrap w:val="0"/>
            <w:vAlign w:val="center"/>
          </w:tcPr>
          <w:p w14:paraId="18374C50">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c>
          <w:tcPr>
            <w:tcW w:w="1650" w:type="dxa"/>
            <w:noWrap w:val="0"/>
            <w:vAlign w:val="center"/>
          </w:tcPr>
          <w:p w14:paraId="28FCFCAC">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r>
      <w:tr w14:paraId="223B6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 w:type="dxa"/>
            <w:noWrap w:val="0"/>
            <w:vAlign w:val="center"/>
          </w:tcPr>
          <w:p w14:paraId="6443B1A1">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7</w:t>
            </w:r>
          </w:p>
        </w:tc>
        <w:tc>
          <w:tcPr>
            <w:tcW w:w="2662" w:type="dxa"/>
            <w:noWrap w:val="0"/>
            <w:vAlign w:val="center"/>
          </w:tcPr>
          <w:p w14:paraId="3523539E">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生活照料服务</w:t>
            </w:r>
          </w:p>
        </w:tc>
        <w:tc>
          <w:tcPr>
            <w:tcW w:w="7762" w:type="dxa"/>
            <w:noWrap w:val="0"/>
            <w:vAlign w:val="center"/>
          </w:tcPr>
          <w:p w14:paraId="690832A5">
            <w:pPr>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据实描述服务内容</w:t>
            </w:r>
          </w:p>
        </w:tc>
        <w:tc>
          <w:tcPr>
            <w:tcW w:w="1770" w:type="dxa"/>
            <w:noWrap w:val="0"/>
            <w:vAlign w:val="center"/>
          </w:tcPr>
          <w:p w14:paraId="780C1D48">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c>
          <w:tcPr>
            <w:tcW w:w="1650" w:type="dxa"/>
            <w:noWrap w:val="0"/>
            <w:vAlign w:val="center"/>
          </w:tcPr>
          <w:p w14:paraId="4387AEA8">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r>
      <w:tr w14:paraId="5C93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 w:type="dxa"/>
            <w:noWrap w:val="0"/>
            <w:vAlign w:val="center"/>
          </w:tcPr>
          <w:p w14:paraId="5EABD904">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8</w:t>
            </w:r>
          </w:p>
        </w:tc>
        <w:tc>
          <w:tcPr>
            <w:tcW w:w="2662" w:type="dxa"/>
            <w:noWrap w:val="0"/>
            <w:vAlign w:val="center"/>
          </w:tcPr>
          <w:p w14:paraId="01801547">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基础照护服务</w:t>
            </w:r>
          </w:p>
        </w:tc>
        <w:tc>
          <w:tcPr>
            <w:tcW w:w="7762" w:type="dxa"/>
            <w:noWrap w:val="0"/>
            <w:vAlign w:val="center"/>
          </w:tcPr>
          <w:p w14:paraId="49A09EA4">
            <w:pPr>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据实描述服务内容</w:t>
            </w:r>
          </w:p>
        </w:tc>
        <w:tc>
          <w:tcPr>
            <w:tcW w:w="1770" w:type="dxa"/>
            <w:noWrap w:val="0"/>
            <w:vAlign w:val="center"/>
          </w:tcPr>
          <w:p w14:paraId="5C652173">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c>
          <w:tcPr>
            <w:tcW w:w="1650" w:type="dxa"/>
            <w:noWrap w:val="0"/>
            <w:vAlign w:val="center"/>
          </w:tcPr>
          <w:p w14:paraId="6B7018F0">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r>
      <w:tr w14:paraId="108F9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 w:type="dxa"/>
            <w:noWrap w:val="0"/>
            <w:vAlign w:val="center"/>
          </w:tcPr>
          <w:p w14:paraId="72299F8F">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9</w:t>
            </w:r>
          </w:p>
        </w:tc>
        <w:tc>
          <w:tcPr>
            <w:tcW w:w="2662" w:type="dxa"/>
            <w:noWrap w:val="0"/>
            <w:vAlign w:val="center"/>
          </w:tcPr>
          <w:p w14:paraId="2DA49B9A">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探访关爱服务</w:t>
            </w:r>
          </w:p>
        </w:tc>
        <w:tc>
          <w:tcPr>
            <w:tcW w:w="7762" w:type="dxa"/>
            <w:noWrap w:val="0"/>
            <w:vAlign w:val="center"/>
          </w:tcPr>
          <w:p w14:paraId="3D420AE5">
            <w:pPr>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据实描述服务内容</w:t>
            </w:r>
          </w:p>
        </w:tc>
        <w:tc>
          <w:tcPr>
            <w:tcW w:w="1770" w:type="dxa"/>
            <w:noWrap w:val="0"/>
            <w:vAlign w:val="center"/>
          </w:tcPr>
          <w:p w14:paraId="735FDB6B">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c>
          <w:tcPr>
            <w:tcW w:w="1650" w:type="dxa"/>
            <w:noWrap w:val="0"/>
            <w:vAlign w:val="center"/>
          </w:tcPr>
          <w:p w14:paraId="5F58A90C">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r>
      <w:tr w14:paraId="7940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 w:type="dxa"/>
            <w:noWrap w:val="0"/>
            <w:vAlign w:val="center"/>
          </w:tcPr>
          <w:p w14:paraId="7C3E10E6">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10</w:t>
            </w:r>
          </w:p>
        </w:tc>
        <w:tc>
          <w:tcPr>
            <w:tcW w:w="2662" w:type="dxa"/>
            <w:noWrap w:val="0"/>
            <w:vAlign w:val="center"/>
          </w:tcPr>
          <w:p w14:paraId="1F2C7283">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健康管理服务</w:t>
            </w:r>
          </w:p>
        </w:tc>
        <w:tc>
          <w:tcPr>
            <w:tcW w:w="7762" w:type="dxa"/>
            <w:noWrap w:val="0"/>
            <w:vAlign w:val="center"/>
          </w:tcPr>
          <w:p w14:paraId="3E97F826">
            <w:pPr>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据实描述服务内容</w:t>
            </w:r>
          </w:p>
        </w:tc>
        <w:tc>
          <w:tcPr>
            <w:tcW w:w="1770" w:type="dxa"/>
            <w:noWrap w:val="0"/>
            <w:vAlign w:val="center"/>
          </w:tcPr>
          <w:p w14:paraId="0F6E5AA7">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c>
          <w:tcPr>
            <w:tcW w:w="1650" w:type="dxa"/>
            <w:noWrap w:val="0"/>
            <w:vAlign w:val="center"/>
          </w:tcPr>
          <w:p w14:paraId="4564E231">
            <w:pPr>
              <w:keepNext w:val="0"/>
              <w:keepLines w:val="0"/>
              <w:pageBreakBefore w:val="0"/>
              <w:kinsoku/>
              <w:wordWrap/>
              <w:overflowPunct/>
              <w:topLinePunct w:val="0"/>
              <w:autoSpaceDE/>
              <w:autoSpaceDN/>
              <w:bidi w:val="0"/>
              <w:adjustRightInd/>
              <w:snapToGrid/>
              <w:spacing w:line="360" w:lineRule="exact"/>
              <w:ind w:firstLine="0" w:firstLine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w:t>
            </w:r>
          </w:p>
        </w:tc>
      </w:tr>
    </w:tbl>
    <w:p w14:paraId="57C0A133">
      <w:pPr>
        <w:spacing w:line="560" w:lineRule="exact"/>
        <w:rPr>
          <w:rFonts w:hint="eastAsia" w:ascii="黑体" w:hAnsi="黑体" w:eastAsia="黑体" w:cs="黑体"/>
          <w:sz w:val="32"/>
          <w:szCs w:val="32"/>
          <w:lang w:val="en-US" w:eastAsia="zh-CN"/>
        </w:rPr>
        <w:sectPr>
          <w:pgSz w:w="16838" w:h="11906" w:orient="landscape"/>
          <w:pgMar w:top="1587" w:right="2098" w:bottom="1474" w:left="1984" w:header="851" w:footer="992" w:gutter="0"/>
          <w:pgNumType w:fmt="numberInDash"/>
          <w:cols w:space="720" w:num="1"/>
          <w:rtlGutter w:val="0"/>
          <w:docGrid w:type="lines" w:linePitch="315" w:charSpace="0"/>
        </w:sectPr>
      </w:pPr>
    </w:p>
    <w:p w14:paraId="00EC8972">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val="en-US" w:eastAsia="zh-CN"/>
        </w:rPr>
      </w:pPr>
      <w:r>
        <w:rPr>
          <w:rFonts w:hint="eastAsia" w:ascii="黑体" w:hAnsi="黑体" w:eastAsia="黑体" w:cs="黑体"/>
          <w:b w:val="0"/>
          <w:bCs w:val="0"/>
          <w:spacing w:val="-6"/>
          <w:sz w:val="32"/>
          <w:szCs w:val="32"/>
          <w:lang w:eastAsia="zh-CN"/>
        </w:rPr>
        <w:t>附件</w:t>
      </w:r>
      <w:r>
        <w:rPr>
          <w:rFonts w:hint="eastAsia" w:ascii="黑体" w:hAnsi="黑体" w:eastAsia="黑体" w:cs="黑体"/>
          <w:b w:val="0"/>
          <w:bCs w:val="0"/>
          <w:spacing w:val="-6"/>
          <w:sz w:val="32"/>
          <w:szCs w:val="32"/>
          <w:lang w:val="en-US" w:eastAsia="zh-CN"/>
        </w:rPr>
        <w:t>4</w:t>
      </w:r>
    </w:p>
    <w:p w14:paraId="1973BBF5">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方正小标宋简体" w:hAnsi="方正小标宋简体" w:eastAsia="方正小标宋简体" w:cs="方正小标宋简体"/>
          <w:sz w:val="44"/>
          <w:szCs w:val="44"/>
          <w:lang w:val="en-US" w:eastAsia="zh-CN"/>
        </w:rPr>
      </w:pPr>
    </w:p>
    <w:p w14:paraId="62D2D880">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“民政通”上传电子消费券核销凭证工作提示</w:t>
      </w:r>
    </w:p>
    <w:p w14:paraId="24D09421">
      <w:pPr>
        <w:spacing w:line="560" w:lineRule="exact"/>
        <w:rPr>
          <w:rFonts w:hint="eastAsia" w:ascii="仿宋_GB2312" w:hAnsi="仿宋_GB2312" w:eastAsia="仿宋_GB2312" w:cs="仿宋_GB2312"/>
          <w:sz w:val="32"/>
          <w:szCs w:val="32"/>
          <w:lang w:val="en-US" w:eastAsia="zh-CN"/>
        </w:rPr>
      </w:pPr>
    </w:p>
    <w:p w14:paraId="0A18B70C">
      <w:pPr>
        <w:numPr>
          <w:ilvl w:val="0"/>
          <w:numId w:val="1"/>
        </w:numPr>
        <w:spacing w:line="560" w:lineRule="exact"/>
        <w:ind w:left="319" w:leftChars="152" w:firstLine="320" w:firstLineChars="1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关于养老服务相关协议</w:t>
      </w:r>
    </w:p>
    <w:p w14:paraId="6991AFD1">
      <w:pPr>
        <w:numPr>
          <w:ilvl w:val="0"/>
          <w:numId w:val="0"/>
        </w:numPr>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合同中应明确包括但不限于以下条款：1.服务地点及服务设施；2.服务内容；3.收费标准及费用的支付；4.合同期限及合同期满的处理；5.合同双方的权利、义务；6.相关服务承诺；7.合同的变更和解除；8.特别约定；9.违约责任；10.纠纷的解决方式及管辖；11.向中度及以上失能老年人发放养老服务消费补贴项目相关政策说明；12.其他。</w:t>
      </w:r>
    </w:p>
    <w:p w14:paraId="55F43986">
      <w:pPr>
        <w:numPr>
          <w:ilvl w:val="0"/>
          <w:numId w:val="0"/>
        </w:num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二、关于收费凭证</w:t>
      </w:r>
    </w:p>
    <w:p w14:paraId="09DBD70B">
      <w:pPr>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与向中度及以上失能老年人发放养老服务消费补贴项目的养老服务企业或社会组织，应根据《中华人民共和国发票管理办法》和《中华人民共和国民法典》等有关要求，开具正规的收费凭证，按要求上传至“民政通”。</w:t>
      </w:r>
    </w:p>
    <w:p w14:paraId="063A6974">
      <w:pPr>
        <w:spacing w:line="560" w:lineRule="exact"/>
        <w:rPr>
          <w:rFonts w:hint="eastAsia" w:ascii="仿宋_GB2312" w:hAnsi="仿宋_GB2312" w:eastAsia="仿宋_GB2312" w:cs="仿宋_GB2312"/>
          <w:sz w:val="32"/>
          <w:szCs w:val="32"/>
          <w:lang w:val="en-US" w:eastAsia="zh-CN"/>
        </w:rPr>
      </w:pPr>
    </w:p>
    <w:p w14:paraId="764DAA7F">
      <w:pPr>
        <w:keepNext w:val="0"/>
        <w:keepLines w:val="0"/>
        <w:pageBreakBefore w:val="0"/>
        <w:wordWrap/>
        <w:topLinePunct w:val="0"/>
        <w:bidi w:val="0"/>
        <w:spacing w:before="143" w:line="600" w:lineRule="exact"/>
        <w:rPr>
          <w:rFonts w:hint="eastAsia" w:ascii="黑体" w:hAnsi="黑体" w:eastAsia="黑体" w:cs="黑体"/>
          <w:b w:val="0"/>
          <w:bCs w:val="0"/>
          <w:spacing w:val="-6"/>
          <w:sz w:val="32"/>
          <w:szCs w:val="32"/>
          <w:lang w:val="en-US" w:eastAsia="zh-CN"/>
        </w:rPr>
      </w:pPr>
    </w:p>
    <w:p w14:paraId="56D65998">
      <w:pPr>
        <w:keepNext w:val="0"/>
        <w:keepLines w:val="0"/>
        <w:pageBreakBefore w:val="0"/>
        <w:wordWrap/>
        <w:topLinePunct w:val="0"/>
        <w:bidi w:val="0"/>
        <w:spacing w:before="143" w:line="600" w:lineRule="exact"/>
        <w:rPr>
          <w:rFonts w:hint="default" w:ascii="黑体" w:hAnsi="黑体" w:eastAsia="黑体" w:cs="黑体"/>
          <w:b w:val="0"/>
          <w:bCs w:val="0"/>
          <w:spacing w:val="-6"/>
          <w:sz w:val="32"/>
          <w:szCs w:val="32"/>
          <w:lang w:val="en-US" w:eastAsia="zh-CN"/>
        </w:rPr>
      </w:pPr>
    </w:p>
    <w:p w14:paraId="5A5326C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14:paraId="329CC4AA"/>
    <w:sectPr>
      <w:pgSz w:w="11906" w:h="16838"/>
      <w:pgMar w:top="1440" w:right="1474" w:bottom="1440"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0000600000000000000"/>
    <w:charset w:val="86"/>
    <w:family w:val="auto"/>
    <w:pitch w:val="default"/>
    <w:sig w:usb0="800002BF" w:usb1="184F6CF8" w:usb2="00000012" w:usb3="00000000" w:csb0="00160001" w:csb1="1203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3360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9BE519">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D9BE519">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056A4"/>
    <w:multiLevelType w:val="singleLevel"/>
    <w:tmpl w:val="837056A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A34AB2"/>
    <w:rsid w:val="0D05387D"/>
    <w:rsid w:val="29A34A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next w:val="1"/>
    <w:qFormat/>
    <w:uiPriority w:val="0"/>
    <w:pPr>
      <w:tabs>
        <w:tab w:val="center" w:pos="4153"/>
        <w:tab w:val="right" w:pos="8306"/>
      </w:tabs>
      <w:snapToGrid w:val="0"/>
      <w:jc w:val="left"/>
    </w:pPr>
    <w:rPr>
      <w:sz w:val="18"/>
    </w:rPr>
  </w:style>
  <w:style w:type="table" w:styleId="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3e09ca63-bb48-4cf5-bc1a-4b7a00ab53f4</errorID>
      <errorWord>（</errorWord>
      <group>L1_Punc</group>
      <groupName>标点问题</groupName>
      <ability>L2_Punc</ability>
      <abilityName>标点符号检查</abilityName>
      <candidateList/>
      <explain>同一形式括号套用。</explain>
      <paraID>56BE9E21</paraID>
      <start>49</start>
      <end>50</end>
      <status>unmodified</status>
      <modifiedWord/>
      <trackRevisions>false</trackRevisions>
    </reviewItem>
    <reviewItem>
      <errorID>b1cba497-706b-4d4c-a206-dccf89359bf8</errorID>
      <errorWord>）</errorWord>
      <group>L1_Punc</group>
      <groupName>标点问题</groupName>
      <ability>L2_Punc</ability>
      <abilityName>标点符号检查</abilityName>
      <candidateList/>
      <explain>同一形式括号套用。</explain>
      <paraID>56BE9E21</paraID>
      <start>52</start>
      <end>53</end>
      <status>unmodified</status>
      <modifiedWord/>
      <trackRevisions>false</trackRevisions>
    </reviewItem>
    <reviewItem>
      <errorID>c9772008-335b-421a-a943-bc93b324584b</errorID>
      <errorWord>正被</errorWord>
      <group>L1_Word</group>
      <groupName>字词问题</groupName>
      <ability>L2_Typo</ability>
      <abilityName>字词错误</abilityName>
      <candidateList>
        <item>被</item>
      </candidateList>
      <explain>❶〈介〉用于被动句，引进动作的施事，前面的主语是动作的受事（施动者放在被字后，但有时省略）：解放军到处～（人）尊敬｜那棵树～（大风）刮倒了｜这套书～人借走了一本｜他～选为代表。❷〈助〉用在动词前表示被动的动作：～压迫民族｜～剥削阶级。</explain>
      <paraID>4BCC0D9B</paraID>
      <start>47</start>
      <end>49</end>
      <status>unmodified</status>
      <modifiedWord/>
      <trackRevisions>false</trackRevisions>
    </reviewItem>
    <reviewItem>
      <errorID>868fafe9-371b-440c-8ccb-fb38b3beced8</errorID>
      <errorWord>《</errorWord>
      <group>L1_Punc</group>
      <groupName>标点问题</groupName>
      <ability>L2_Punc</ability>
      <abilityName>标点符号检查</abilityName>
      <candidateList/>
      <explain/>
      <paraID> 6498107</paraID>
      <start>15</start>
      <end>16</end>
      <status>unmodified</status>
      <modifiedWord/>
      <trackRevisions>false</trackRevisions>
    </reviewItem>
    <reviewItem>
      <errorID>fe81e0b5-048a-46d7-ab65-e4703a1cf23c</errorID>
      <errorWord>，</errorWord>
      <group>L1_Word</group>
      <groupName>字词问题</groupName>
      <ability>L2_Typo</ability>
      <abilityName>字词错误</abilityName>
      <candidateList>
        <item>，并</item>
      </candidateList>
      <explain/>
      <paraID>49592CD7</paraID>
      <start>141</start>
      <end>142</end>
      <status>unmodified</status>
      <modifiedWord/>
      <trackRevisions>false</trackRevisions>
    </reviewItem>
    <reviewItem>
      <errorID>07354316-cbfb-4280-9934-179aa07be59d</errorID>
      <errorWord>鼓动</errorWord>
      <group>L1_Word</group>
      <groupName>字词问题</groupName>
      <ability>L2_Typo</ability>
      <abilityName>字词错误</abilityName>
      <candidateList>
        <item>鼓励</item>
      </candidateList>
      <explain/>
      <paraID>1FA29046</paraID>
      <start>115</start>
      <end>117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b3340f-bd7c-4461-96fb-3097b15b7157}">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6518</Words>
  <Characters>6703</Characters>
  <Lines>0</Lines>
  <Paragraphs>0</Paragraphs>
  <TotalTime>0</TotalTime>
  <ScaleCrop>false</ScaleCrop>
  <LinksUpToDate>false</LinksUpToDate>
  <CharactersWithSpaces>6781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2026-01-16T08:29:00Z</dcterms:created>
  <dc:creator> 萱萌妈 </dc:creator>
  <cp:lastModifiedBy> 萱萌妈 </cp:lastModifiedBy>
  <dcterms:modified xsi:type="dcterms:W3CDTF">2026-01-16T10:18:24Z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0659B6DFCE43448B880FB45589BE315E_11</vt:lpwstr>
  </property>
  <property fmtid="{D5CDD505-2E9C-101B-9397-08002B2CF9AE}" pid="4" name="KSOTemplateDocerSaveRecord">
    <vt:lpwstr>eyJoZGlkIjoiNmU0ZmE5NTllMDhjNmQ3NGVmMmIxOWMwMmY1Y2U3OGMiLCJ1c2VySWQiOiIzMjI1ODI2NTAifQ==</vt:lpwstr>
  </property>
</Properties>
</file>